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продуктов питания для нужд ЗАО «Национальный центр психического здоровья»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ՀԱՊԱԿ-ԷԱՃԱՊՁԲ-2026/11</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продуктов питания для нужд ЗАО «Национальный центр психического здоровья»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продуктов питания для нужд ЗАО «Национальный центр психического здоровья» на 2026 год</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продуктов питания для нужд ЗАО «Национальный центр психического здоровья»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ՀԱՊԱԿ-ԷԱՃԱՊՁԲ-2026/11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ՀՈԳԵԿԱՆ ԱՌՈՂՋՈՒԹՅԱՆ ՊԱՀՊԱՆՄԱՆ ԱԶԳԱՅԻՆ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ՀԱՊԱԿ-ԷԱՃԱՊՁԲ-2026/11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ՀԱՊԱԿ-ԷԱՃԱՊՁԲ-2026/11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ՀԱՊԱԿ-ԷԱՃԱՊՁԲ-2026/11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Մատակարարումը պետք է կատարվի միայն ջերմակարգավորվող տրանսպօրտային միջոցով:Սննդամթերը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սև գույնի միջին չափսի մաքուր, առանց կողմնակի մասնիկների, պատրաստված բնական խաղողի  տեսակներից, մակնշումը ՝՝Սննդամթերքի անվտանգության մասին՝՝ՀՀ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վնասվածքների,միջին չափի, ԳՕՍՏ 4429-82: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չափերի,միջինից բարձր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ԳՕՍՏ 13907-86: Անվտանգությունը` ըստ N 2-III-4.9-01-2010 հիգիենիկ նորմատիվների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զեյթուն՝ բարձրորակ և բնական։Մարինադ՝ ջուր, աղ, կիտրոնի թթու կամ բնական թթվանյութ (առանց քիմիական կոնսերվանտների)։Ըստ անհրաժեշտության՝ համեմունքներ (սխտոր, սամիթ, կամ այլ բնական բաղադրիչներ)։ Որակական պահանջներ. Զեյթունի չափսը՝ միջին կամ խոշոր։ Ապրանքը պետք է լինի առանց վնասվածքների և ունենա մուգ սև գույն։ Մարինադը պետք է լինի թափանցիկ և առանց պղտորության։ Փաթեթավորում. Ապակե, մետաղական կամ պլաստիկ տարաներ։ Հերմետիկ փակվող կափարիչ, որը ապահովում է պահածոյի երկարաժամկետ պահպանման պայմանները։ Պիտակի վրա պետք է նշված լինեն՝ 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պետք է կատարվի 1  կամ 5 լիտրանոց տարաներով: Տարայի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փաթեթավորված։ Խոշոր և մանր տերևներով կամ հատիկավոր։ ԳՕՍՏ 1937-90 կամ ԳՕՍՏ1938-90։ Անվտանգությունը` ըստ 2-III-4.9-01-2010 հիգիենիկ նորմատիվների, իսկ մակնշումը` «Սննդամթերքի անվտանգության մասին» 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