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ՎՁԲԿ-ԷԱՃԱՊՁԲ-26/19 ծածկագրով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ՎՁԲԿ-ԷԱՃԱՊՁԲ-26/19 ծածկագրով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ՎՁԲԿ-ԷԱՃԱՊՁԲ-26/19 ծածկագրով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ՎՁԲԿ-ԷԱՃԱՊՁԲ-26/19 ծածկագրով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ՉԱՄ, Գուանիդինի ածանցյալներ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Ախտահանիչ նյութը իր բաղադրությունում չի պարունակում որպես ակտիվ բաղադրիչներ քլոր, ալկոհոլ: 1 լիտր խտանյութից պատրաստվի մինչև 0,5%-անոց, ոչ պակաս , քան  200 լիտր  աշխատանքային լուծույթ: Աշխատանքային լուծույթի պիտանելիությունը 5 օր-ից ոչ պակաս, նախատեսված  բազմակի օգտագործման համար: Փաթեթավորումը- 1լիտր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