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ալյուրին բնորոշ, առանց կողմնակի համի և հոտի: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Ծաղկակաղամբը պետք է լինի ամուր, թարմ և միատեսակ գլխով։ Գույնը պետք է լինի սպիտակավուն կամ բաց սերուցքային՝ առանց մուգ բծերի։ Չի թույլատրվում վնասված կամ փտախտային հատվածներ։ Ապրանքը պետք է լինի մաքուր և առանց տերևային մեծ մնացորդների։ Պահպանումը պետք է իրականացվի սառը միջավայրում՝ որակի պահպանման համար։ Մատակարարման պահին պետք է ապահովված լինի առնվազն 80% պիտանելիության ժամկետի մնացորդ։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ԳՕՍՏ 13907-86: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Կիտրոնը պետք է լինի թարմ, առողջ և առանց մեխանիկական վնասվածքների։ Գույնը պետք է լինի համասեռ՝ առանց սև բծերի կամ փտած հատվածների։ Արտաքին մակերեսը պետք է լինի մաքուր և ամուր, իսկ միջուկը՝ հյութալի։ Չի թույլատրվում օտար հոտ կամ քիմիական ներծծվածություն։ Մատակարարվող կիտրոնները պետք է լինեն ստանդարտ չափի և տեսակին համապատասխան։ Պիտանելիության ժամկետը պետք է լինի առնվազն 80%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աղացած, խոնավության զանգվածային մասը` 10%-ից ոչ ավելի, մոխրի առկայությունը` 9%-ից ոչ ավել, փաթեթավորումը` չա¬փա¬ծրարված 0,015 կգ-ից մինչև 5 կգ զանգվածներով, թղթե կամ ստվարաթղթե կամ պոլիէթի¬լե¬նա-յին տոպրակներում, ԳՕՍՏ 29053-91։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և ոչ գործարանային մշակման չոր մրգեր, բարձր, I, II տեսակների քիշմիշ, չամիչ, ավլոն, պահված 70%-ից ոչ ավելի խոնավության պայմաններում, սպիտակ, թարմ։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Պաքսիմատը պետք է լինի հավասարաչափ թխված, խրթխրթան և առանց այրված հատվածների։ Ապրանքը պետք է ունենա բնական բույր և չպարունակի օտար համեր կամ հոտեր։ Պետք է պատրաստված լինի որակյալ ալյուրից՝ առանց արհեստական ներկանյութերի կամ հավելումների։ Խոնավությունը պետք է համապատասխանի ՀՀ և ԵԱՏՄ սննդանվտանգության նորմերին։ Փաթեթավորումը պետք է լինի հերմետիկ, սննդանյութերին պիտանի։ Պիտանելիության ժամկետից առնվազն 80% պետք է մնացած լինի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Միջուկով և առանց միջուկի, չափածրարված, ԳՕՍՏ 14031-68: Անվտանգությունը և մակնշումը` N 2-III-4.9-01-2010 հիգիենիկնորմատիվների և «Սննդամթերքի անվտանգության մասին« ՀՀօրենքի 8-րդհոդվածի : Մակնշումը համաձայն «Սննդամթերքի մակնշման մասին» Մաքսային միության տեխնիկական կանոնակարգի (ՄՄ ՏԿ 022/2011)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Փխրեցուցիչը պետք է լինի թույլ սպիտակագույն կամ բաց փոշե զանգված՝ առանց կոշտացումների։ Թույլատրվում է միայն սննդային օգտագործման համար հաստատված բաղադրություն։ Ապրանքը չպետք է պարունակի հոտային կամ համային օտար շեղումներ։ Խոնավությունը պետք է լինի նվազագույն՝ փոշու կտորացումից խուսափելու համար։ Փաթեթավորումը պետք է ապահովի օդաթափանցելիության սահմանափակում և լինի հերմետիկ։ Պիտանելիության ժամկետից առնվազն 80% պետք է պահպանված լինի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6.0 %-ից ոչ ավելի, pH-ը՝ 7.1-ից ոչ ավելի, դիսպերսությունը՝ 90.0 %-ից ոչ պակաս, փաթեթավորված թղթե տուփերում և մետաղյա կամ ապակե բանկաներում, ինչպես նաև ոչ կշռաբաժանված, ԳՕՍՏ 108-76, Անվտանգությունը և մակնշումը` N 2-III-4.9-01-2010 հիգիենիկ նորմատիվների և ««Սննդամթերքի անվտանգության մասին »»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ԳՕՍՏ 31822-2012: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