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խմելու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խմելու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խմելու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խմելու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բնական խմելու ջուր, լրացուցիչ մաքրման փուլ անցած, այն է` ենթարկված լինի կոշտ մաքրման, ածխային ֆիլտրով և ավելի նուրբ ֆիլտրով, ախտահանված լինի ուլտրամանուշակագույն ճառագայթներով: Անվտանգությունն` ըստ 2-III-4,9-01-2010 հիգիենիկ նորմատիվների, մակնշումը՝ ««Սննդամթերքի անվտանգության մասին»» օրենքի 8-րդ հոդվածի, սերտիֆիկացումը՝ սննդամթերքի անվտանգության կառավարման համակարգի ISO22000 ստանդարտի պահանջներին համապատասխան, որը պետք է ներկայացվի  պայմանագրի կատարման փուլում։ Շշալցված 18.9լ-19լ տարողությամբ՝ մեկանգամյա օգտագործման տարաներով, որը պետք է ունենա տաք և սառը ջրի սարքին միանալու հնարավորություն: Մաքրման արդյունքում աղբյուրի ջուրը պետք է պահպանի իր բնական հանքային բաղադրությունը: Նախքան ֆիլտրումը պետք է իրականացվի ջրի համի, հոտի և գույնի համապատասխանեցում ակտիվացված ածխի ֆիլտրի օգտագործմամբ, իսկ ածխի վերականգնումը պետք է կատարվի ամեն օր՝ հետադարձ լվացման մեթոդով: Մատակարարը պարտավոր է պայմանագրի գործման ժամկետներում Պատվիրատուի օգտագործմանը հանձնել 16 հատ ջրի սարք (դիսպենսեր) անվճար: Անհրաժեշտության դեպքում յուրաքանչյուր ամիս պետք է կատարվի ջրի սարքերի աշխատանքային վիճակի` որակի զննում և մաքրում: Մատակարարումները պետք է իրականացվեն մեկ աշխատանքային օրվա ընթացքում, ըստ Պատվիրատուի ներկայացրած պահանջարկի: Պիտանելիության ժամկետը մատակարարման պահից՝ առնվազն 3 ամիս:
Պատվիրատուի օգտագործմանը հանձնված դիսպենսեր սարքերը, ինչպես նաև մատակարարվող տարաները պետք է լինեն պատշաճ տեսքի, անվնաս և մաքուր։
Ապրանքները «Երևանի ՋԷԿ» ՓԲԸ  վարչական տարածք տեղափոխվում է կատարողի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դեկտեմբերի 28-ը: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