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Ամասիայի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գյուղ Ամասիա 26-րդ փողոց, 19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Կարինե Հարթենյան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karinehartenyan1957@gmail.com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Ամասիայի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ՇՄԱՀ-ԷԱՃԱՊՁԲ-26/02</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Ամասիայի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Ամասիայի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Ամասիայի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karinehartenyan1957@gmail.com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Ամասիայի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համայնքապետարան*(далее — Заказчик) процедуре закупок под кодом ՇՄԱՀ-ԷԱՃԱՊՁԲ-26/02*.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число не менее 51, катодный индекс - не менее 46, плотность при температуре от 150 до 820 до 845 кг / м 3, содержание серы не менее 350 мг / кг, температура вспышки не ниже 550 С, Углеродный остаток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150°C 820-845 кг/м³.
Массовая доля полициклических ароматических углеводородов не более 11%. Содержание серы не более 10 мг/кг.
Температура вспышки не ниже 55°C.
Углеродный остаток /коксование/ в 10% осадка не более 0,3%. Вязкость при 400°C от 2,0 до 4,5 мм²/с.
Температура помутнения не выше 5°C.
Безопасность, маркировка и упаковка соответствуют Постановлению Правительства Республики Армения от 2004 г. № «Технический регламент по топливу для двигателей внутреннего сгорания», утвержденному Постановлением № 1592-Н от 11 ноября 2011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С.Амасиа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С.Амасиа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С.Амасиа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