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ԾՔ-ԷԱՃԱՊՁԲ-26/3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Котайкская область, Муниципалитет города Цахкадзор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 Орбели Ехпайрнери 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централизованную закупку продуктов питания для нужд общественных некоммерческих организаций, действующих в ведении муниципалитета Цахкадзора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Մխիթարյան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mkhitaryannarine2@gmail.com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060680251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Котайкская область, Муниципалитет города Цахкадзор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ԾՔ-ԷԱՃԱՊՁԲ-26/3</w:t>
      </w:r>
      <w:r>
        <w:rPr>
          <w:rFonts w:ascii="Calibri" w:hAnsi="Calibri" w:cstheme="minorHAnsi"/>
          <w:i/>
        </w:rPr>
        <w:br/>
      </w:r>
      <w:r>
        <w:rPr>
          <w:rFonts w:ascii="Calibri" w:hAnsi="Calibri" w:cstheme="minorHAnsi"/>
          <w:szCs w:val="20"/>
          <w:lang w:val="af-ZA"/>
        </w:rPr>
        <w:t>2026.01.16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Котайкская область, Муниципалитет города Цахкадзор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Котайкская область, Муниципалитет города Цахкадзор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централизованную закупку продуктов питания для нужд общественных некоммерческих организаций, действующих в ведении муниципалитета Цахкадзора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централизованную закупку продуктов питания для нужд общественных некоммерческих организаций, действующих в ведении муниципалитета Цахкадзора</w:t>
      </w:r>
      <w:r>
        <w:rPr>
          <w:rFonts w:ascii="Calibri" w:hAnsi="Calibri" w:cstheme="minorHAnsi"/>
          <w:b/>
          <w:lang w:val="ru-RU"/>
        </w:rPr>
        <w:t xml:space="preserve">ДЛЯ НУЖД  </w:t>
      </w:r>
      <w:r>
        <w:rPr>
          <w:rFonts w:ascii="Calibri" w:hAnsi="Calibri" w:cstheme="minorHAnsi"/>
          <w:b/>
          <w:sz w:val="24"/>
          <w:szCs w:val="24"/>
          <w:lang w:val="af-ZA"/>
        </w:rPr>
        <w:t>РА, Котайкская область, Муниципалитет города Цахкадзор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ԾՔ-ԷԱՃԱՊՁԲ-26/3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mkhitaryannarine2@gmail.com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централизованную закупку продуктов питания для нужд общественных некоммерческих организаций, действующих в ведении муниципалитета Цахкадзора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կեֆիր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հալած պանիր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չռաֆինացված, (չզտված)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կորկոտ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ամբողջական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 եգիպտացորեն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զեյթունի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379.42</w:t>
      </w:r>
      <w:r>
        <w:rPr>
          <w:rFonts w:ascii="Calibri" w:hAnsi="Calibri" w:cstheme="minorHAnsi"/>
          <w:szCs w:val="22"/>
        </w:rPr>
        <w:t xml:space="preserve"> драмом, российский рубль </w:t>
      </w:r>
      <w:r>
        <w:rPr>
          <w:rFonts w:ascii="Calibri" w:hAnsi="Calibri" w:cstheme="minorHAnsi"/>
          <w:lang w:val="af-ZA"/>
        </w:rPr>
        <w:t>4.8278</w:t>
      </w:r>
      <w:r>
        <w:rPr>
          <w:rFonts w:ascii="Calibri" w:hAnsi="Calibri" w:cstheme="minorHAnsi"/>
          <w:szCs w:val="22"/>
        </w:rPr>
        <w:t xml:space="preserve"> драмом, евро </w:t>
      </w:r>
      <w:r>
        <w:rPr>
          <w:rFonts w:ascii="Calibri" w:hAnsi="Calibri" w:cstheme="minorHAnsi"/>
          <w:lang w:val="af-ZA"/>
        </w:rPr>
        <w:t>441.46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2026.01.29.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Котайкская область, Муниципалитет города Цахкадзор</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"ԾՔ-ԷԱՃԱՊՁԲ-26/3"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Котайкская область, Муниципалитет города Цахкадзор*(далее — Заказчик) процедуре закупок под кодом ԾՔ-ԷԱՃԱՊՁԲ-26/3*.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Муниципалитет города Цахкадзор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- 900122002224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"ԾՔ-ԷԱՃԱՊՁԲ-26/3"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Котайкская область, Муниципалитет города Цахкадзор*(далее — Заказчик) процедуре закупок под кодом ԾՔ-ԷԱՃԱՊՁԲ-26/3*.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Муниципалитет города Цахкадзор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- 900122002224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ԾՔ-ԷԱՃԱՊՁԲ-26/3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կեֆիր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հալած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չռաֆինացված, (չզտված)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կորկոտ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ամբողջական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զեյթունի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первой партии.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կեֆիր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հալած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չռաֆինացված, (չզտված)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կորկոտ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ամբողջական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զեյթունի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