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ԱԱԾ-ՏՆՏՎ-ԷԱՃԱՊՁԲ-26/2-ՏՐԱՆՍՊՈՐՏԱՅԻՆ ՆՅՈՒԹԵՐ</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ԱԱԾ-ՏՆՏՎ-ԷԱՃԱՊՁԲ-26/2-ՏՐԱՆՍՊՈՐՏԱՅԻՆ ՆՅՈՒԹԵՐ</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ԱԱԾ-ՏՆՏՎ-ԷԱՃԱՊՁԲ-26/2-ՏՐԱՆՍՊՈՐՏԱՅԻՆ ՆՅՈՒԹԵՐ</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ԱԱԾ-ՏՆՏՎ-ԷԱՃԱՊՁԲ-26/2-ՏՐԱՆՍՊՈՐՏԱՅԻՆ ՆՅՈՒԹԵՐ</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ԱԱԾ-ՏՆՏՎ-ԷԱՃԱՊՁԲ-26/2-ՏՐԱՆՍՊՈՐՏԱՅԻՆ ՆՅՈՒԹԵՐ</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ԱԱԾ-ՏՆՏՎ-ԷԱՃԱՊՁԲ-26/2-ՏՐԱՆՍՊՈՐՏԱՅԻՆ ՆՅՈՒԹԵՐ»*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ԱԱԾ-ՏՆՏՎ-ԷԱՃԱՊՁԲ-26/2-ՏՐԱՆՍՊՈՐՏԱՅԻՆ ՆՅՈՒԹԵՐ*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ԱԱԾ-ՏՆՏՎ-ԷԱՃԱՊՁԲ-26/2-ՏՐԱՆՍՊՈՐՏԱՅԻՆ ՆՅՈՒԹԵՐ»*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ԱԱԾ-ՏՆՏՎ-ԷԱՃԱՊՁԲ-26/2-ՏՐԱՆՍՊՈՐՏԱՅԻՆ ՆՅՈՒԹԵՐ*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միներալ SAE  15W40 API SG/CD.   Յուղեր ունիվերսալ, շարժիչային: Քիմիական բաղադրությունը` միներալ:  Կինեմատիկ մածուցիկությունը 100°C-ի դեպքում` 13,0-15.5 մմ²/վ, Մածուցիկության ինդեքսը 120-ից ոչ պակաս, բռնկման ջերմաստիճանը` 210°C-ից ոչ ցածր, սառեցման ջերմաստիճանը` -25°C-ից ոչ բարձր,  ալկալային թիվը` 7.5մգ  КОН/գ  ոչ պակաս: Մեխանիկական խառնուրդների զանգվածային բաժինը`  0.015-ից ոչ ավել, ինքնաբռնկման ջերմաստիճանը` ոչ պակաս 200°C, ջրի զանգվածային բաժինը  ոչ ավել` 0.01% (հետքեր): Փաթեթավորումը և մակնշումը` գործարանային, նախկինում չբացված,   համաձայն ԳՕՍՏ 1510-84-ի։ Մատակարարումը` 5-ից 216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կիսասինթետիկ SAE  10W40 API SN/CF.
Յուղեր ունիվերսալ, շարժիչային: Քիմիական բաղադրությունը` կիսասինթետիկ:  Կինեմատիկ մածուցիկությունը 100°C-ի դեպքում` 12.0-15.3մմ²/վ, Մածուծիկության ինդեքսը 150-ից ոչ պակաս, բռնկման ջերմաստիճանը` 210°C-ից ոչ պակաս, սառեցման ջերմաստիճանը -30°C -ից ոչ բարձր, ալակալային թիվը` 6,5մգ  КОН/գ ոչ պակաս: Մեխանիկական խառնուրդների զանգվածային բաժինը`  0.015% ից ոչ ավել, ինքնաբռնկման ջերմաստիճանը` ոչ պակաս 200°C, ջրի զանգվածային բաժինը  ոչ ավել` 0.01% (հետքեր): Փաթեթավորումը և մակնշումը` համաձայն ԳՕՍՏ 1510-84-ի։ Մատակարարումը` 5-ից 216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սինթետիկ(100%), SAE  0W20 API SN PLUS, ILSAC GF-5. Յուղեր ունիվերսալ, շարժիչային:
Քիմիական բաղադրությունը` սինթետիկ:  Կինեմատիկ մածուցիկությունը 100°C-ի դեպքում` 7.2-10.5մմ²/վ, մածուցիկության ինդեքսը 160-ից ոչ պակաս, բռնկման ջերմաստիճանը` 230°C-ից ոչ ցածր, սառման ջերմաստիճանը` -45°C-ից ոչ բարձր,  ալկալային թիվը` 9,0մգ  КОН/գ ոչ պակաս: Մեխանիկական խառնուրդների զանգվածային բաժինը`  0.015% -ից ոչ ավել, ջրի զանգվածային բաժինը`  ոչ ավել  0.01% (հետքեր): Փաթեթավորումը և մակնշումը` գործարանային, նախկինում չբացված,  համաձայն ԳՕՍՏ 1510-84-ի։ Մատակարարումը` 1-ից 5 լիտրանոց տարաներով: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