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“Армянский научно-иследовательский институт по эксплатации АЭС”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город Ереван, пр. Адмирала Исакова, 50/12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Спартак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armatom@armatom.am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010-734843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“Армянский научно-иследовательский институт по эксплатации АЭС”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ՀԱ-ԷԱՃԱՊՁԲ-26/1</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“Армянский научно-иследовательский институт по эксплатации АЭС”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“Армянский научно-иследовательский институт по эксплатации АЭС”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ЗАО “Армянский научно-иследовательский институт по эксплатации АЭС”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armatom@armatom.am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“Армянский научно-иследовательский институт по эксплатации АЭС”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“Армянский научно-иследовательский институт по эксплатации АЭС”*(далее — Заказчик) процедуре закупок под кодом ՀԱ-ԷԱՃԱՊՁԲ-26/1*.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“Армянский научно-иследовательский институт по эксплатации АЭС”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“Армянский научно-иследовательский институт по эксплатации АЭС”*(далее — Заказчик) процедуре закупок под кодом ՀԱ-ԷԱՃԱՊՁԲ-26/1*.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“Армянский научно-иследовательский институт по эксплатации АЭС”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Двигательным методом – не менее 85. Содержание свинца: не более 5 мг/дм3. Плотность при 15 0С: 720-775 кг/м3. Содержание серы: не более 10 мг/кг. Объемная доля углеводородов, не более ароматических соединений - 35 %, олефинов - 18 %, объемная доля бензола не более 1 %. Массовая доля кислорода - не более 2,7%, объемная доля окислителей - не более: метанол-3%, этанол-5%, изопропиловый спирт-10%, изобутиловый спирт-10%, тербутиловый спирт-7%, эфиры ( С5 и более) -15%, остальные окислители -10%. Безопасность, маркировка и упаковка согласно постановлению правительства Армении 2004 года. «Технический регламент топлива для двигателей внутреннего сгорания», утвержденный постановлением № 1592 от 11 ноября. Предложение: Оставшиеся купоны 2026 года заменить купонами 2027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