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ԵԱՍՄ-ԷԱՃԱՊՁԲ-26/5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ԵԱՍՄ-ԷԱՃԱՊՁԲ-26/5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ԵԱՍՄ-ԷԱՃԱՊՁԲ-26/5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ԵԱՍՄ-ԷԱՃԱՊՁԲ-26/5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ԵԱՍՄ-ԷԱՃԱՊՁԲ-26/5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ԵԱՍՄ-ԷԱՃԱՊՁԲ-26/5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ԵԱՍՄ-ԷԱՃԱՊՁԲ-26/5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379.42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4.8278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2026.01.29. 12:30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ԵԱՍՄ-ԷԱՃԱՊՁԲ-26/5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ԵԱՍՄ-ԷԱՃԱՊՁԲ-26/5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ԵԱՍՄ-ԷԱՃԱՊՁԲ-26/5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"ԵԱՍՄ-ԷԱՃԱՊՁԲ-26/5"*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"ԵԱՍՄ-ԷԱՃԱՊՁԲ-26/5"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"ԵԱՍՄ-ԷԱՃԱՊՁԲ-26/5"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ԵԱՍՄ-ԷԱՃԱՊՁԲ-26/5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комплект одежды /размеры 42–64, соответствие размерной сетке согласовывается с требованиями Заказчика/ состоит из рабочей куртки (1 шт.), брюк (2 шт.), кепи (1 шт.), футболки с коротким рукавом (2 шт.).
Летняя куртка, брюки и кепи должны быть изготовлены из полиэфирно-хлопчатобумажной ткани. Ткань должна обладать масло- и водоотталкивающими свойствами (МВО), а также защитой от кислотных сред с концентрацией 50% (К50).
Состав ткани: 35% хлопок, 65% полиэстер, поверхностная плотность — 245±5 г/м².
Разрывная нагрузка ткани по основе — не менее 1100 Н, по утку — не менее 800 Н.
Маслоотталкивающая способность (показатель маслоотталкивания) в исходном виде — 5 баллов и после 5 стирок не должна изменяться.
Показатель кислотостойкости в исходном виде — 6 часов и после 5 стирок не должен изменяться.
Изменение линейных размеров одежды после влажно-тепловой обработки по основе — не более −2%, по утку — не более −1,5%.
Цветовое сочетание одежды: тёмно-синий цвет (код цвета 19-3920 TCX) в сочетании с флуоресцентным лимонно-жёлтым цветом (код цвета 13-0630 TN). Часть цветовых сочетаний может быть изменена по требованию Заказчика.
Куртка прямого силуэта, в нижней части расположен пояс с эластичной манжетой. Все соединительные швы куртки обработаны на 5-ниточной машине. Проймы и плечевые швы обработаны двойными строчками. Длина — на 7–12 см ниже линии талии.
Куртка с отложным двубортным воротником, на воротнике предусмотрены тканевая петелька и ярлык с указанием размера. Рукава втачные, с эластичной манжетой шириной 5 см.
Куртка застёгивается на нейлоновую молнию, расположенную под ветрозащитной планкой. Ветрозащитная планка крепится к полочке тремя застёжками-липучками длиной по 7 см.
В нижней боковой части куртки имеются 2 внутренних кармана, входы которых обработаны узкими кантами флуоресцентного лимонно-жёлтого цвета, в центре которых установлены нейлоновые молнии.
Также куртка имеет 1–2 накладных объёмных кармана в области груди. Грудные карманы закрываются клапанами, выполненными из двух частей: верхняя часть — тёмно-синего цвета, внутренняя — флуоресцентного лимонно-жёлтого цвета, шире верхней на 1–2 мм. Клапан с одной стороны прямой, с другой — скошенной формы.
Накладные грудные карманы обработаны двойной строчкой, а на закрывающих клапанах установлены хлястики для предотвращения загрязнения карманов при открывании. Карманы закрываются застёжками-липучками.
По всей окружности груди куртки, а также на рукавах размещены световозвращающие ленты шириной 4 см. На спинке и по всей окружности рукавов световозвращающие ленты должны быть размещены в двойном исполнении.
Основа световозвращающих лент: 30% хлопок, 70% полиэстер. Коэффициент световозвращения после 40 циклов стирки при температуре 60°C должен быть не менее 470 кд/лк·м².
Все декоративные строчки куртки должны быть выполнены двойным швом на машине двойного стежка.
На спинке куртки методом вышивки наносится аббревиатура «ЕАСМ», а на накладной ткани левого нагрудного кармана вышивается эмблема мэрии города Еревана с соблюдением пропорций изображения. Размеры вышивки на спинке и логотипа на груди дополнительно согласовываются с Заказчиком.
На внутренней стороне куртки, на расстоянии 15 см от низа, пришивается информационная нейлоновая этикетка с указанием данных производителя / гарантийных условий, размера изделия, краткого описания и инструкций по уходу.
Брюки прямого кроя. Брюки имеют спереди 2 боковых внутренних кармана и 1–2 накладных объёмных кармана в области колен. Входы боковых карманов выполнены под углом и обработаны узкими кантами флуоресцентного лимонно-жёлтого цвета.
Накладные карманы закрываются клапанами, выполненными из двух частей: верхняя — тёмно-синяя, внутренняя — флуоресцентная лимонно-жёлтая, шире верхней на 1–2 мм. Карманы обработаны двойной строчкой, на клапанах установлены хлястики для предотвращения загрязнения. Карманы закрываются застёжками-липучками.
Пояс брюк шириной 4 см, с 5 шлёвками для ремня. Передняя часть застёгивается на нейлоновую молнию и пуговицу. Внутри пояса размещена эластичная лента шириной 3,5–4 см (шиблет-резинка) для регулировки размера.
Ниже коленной части размещены двойные световозвращающие ленты шириной 4 см с аналогичными характеристиками отражения — не менее 470 кд/лк·м² после 40 циклов стирки при 60°C.
Все декоративные строчки брюк выполняются двойным швом.
Кепи изготавливается из ткани тёмно-синего цвета, с внутренней стороны — из самоклеящегося нетканого материала, с усиленным козырьком. На лицевой части методом вышивки или тиснения размещается логотип организации.
Футболка изготовлена из высококачественного ткани пенье компакт с поверхностной плотностью 160±5 г/м². Состав: 95% хлопок, 5% эластан. Футболка с коротким рукавом, с круглым вырезом горловины; воротник выполнен из высококачественной рибаны пенье.
Изменение линейных размеров после стирки — не более 2%. Основной цвет ткани — тёмно-синий (код 19-3920 TCX), обязательно предварительно согласовывается с Заказчиком. Нитки — 100% хлопок высокого качества.
На спинке футболки высококачественной печатной краской наносится наименование или аббревиатура организации. Под швом верхнего края спинки пришивается контрольная этикетка с указанием размера и роста.
Упаковка осуществляется в прозрачные полиэтиленовые пакеты: по 2 футболки в одном пакете. Пакеты маркируются с указанием размера, наименования и количества.
Рабочая обувь (полуботинки) /размеры 37–46/ предназначена для обеспечения безопасности сотрудников. Обувь низкая, спортивного стиля, лёгкая, удобная для повседневной носки.
Обувь состоит из верха, задника, мягкого края голенища, язычка, основной стельки и подошвы. Верх, задник, край голенища и внешний слой язычка изготовлены из натуральной гладкой кожи типа SOFT толщиной 1,3–1,5 мм, чёрного цвета, без дефектов (запрещается использование спилка или свиной кожи).
Передняя часть состоит из пяти деталей, соединённых двойными швами на специальной машине. Шнуровка — чёрные шнурки, проходящие через 5 пар металлических люверсов. Шнурки водонепроницаемые, с термообработанными концами длиной 1,5 см.
Язычок и верхний мягкий край голенища выполнены трёхслойными: верхний слой — натуральная кожа, внутренний — овечья кожа, между ними — губчатый материал. Внутренняя часть обуви полностью дополнительно обработана нетканым проклеенным материалом и овечьей кожей.
Носочная и пяточная части изнутри усилены термопластичным материалом толщиной 1,2–1,4 мм.
Основная стелька состоит из склеенных слоёв натурального материала (1,8–2,2 мм) и обувного картона толщиной 1,8 мм, между которыми установлен металлический супинатор.
Подошва изготовлена из износостойкого, термо- и морозостойкого поливинилхлорида первого сорта с выраженным защитным слоем. Прочность крепления подошвы — согласно ГОСТ 9292-82, гибкость — согласно ГОСТ 9718-88. Подошва крепится к верху клеевым способом под высоким давлением. Внешний вид и цвет подошвы согласовываются с Заказчиком.
Обувь должна быть произведена не ранее 2026 года. На внешней стороне язычка пришивается чёрная искусственная замшевая ткань с нанесённой аббревиатурой организации.
Упаковка: каждая пара — в индивидуальной упаковке; по 10–12 пар укладываются в одну внешнюю картонную коробку. Коробки маркируются с указанием наименования изделия, количества, размеров, наименования поставщика, месяца и года изготовления.
Поставщик до начала поставки обязан представить Заказчику на согласование по одному образцу комплекта для утверждения внешнего вида и всех установленных показателей. Утверждённый образец считается частью договорного количества и подлежит приёмке при поставке последней партии.
Поставляемые товары должны быть новыми. Для каждой партии, при необходимости и по требованию Заказчика, поставщик за свой счёт обязан предоставить заключение лабораторных испытаний о соответствии техническим характеристикам всех видов товаров, выданное аккредитованной в РА и/или ЕАЭС организацией.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