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ԼՄՍՀ-ԷԱՃ-ԱՊՁԲ-26/3</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октавное число не менее 91, плотность при 150 °C не более 775 кг/см³, объемная доля бензина: 1%, стандарт: технические регламенты / Постановление Правительства Республики Армения от 16.06.2005 № 894-Н, условные обозначения: «опасно для огня», техническая безопасность: легковоспламеняющееся, безопасность для окружающей среды - содержание свинца не более 0,005 г/л, внешний вид: чистый и прозрачный. Поставка осуществляется по купону на автозаправочной станции, работающей на административной территории поселка Спитак, входящего в состав общины Спитак. Купоны предоставляются поставщиком по адресу: Спитак, Шаумян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Основной компонент — смесь пропана и бутана. Состав сжиженного газа должен соответствовать следующим требованиям: а) плотность водяного пара в сжиженном газе не более 32 мг/м³; б) содержание сероводорода и других растворимых сульфидов не более 23 мг/м³; в) содержание кислорода не более 1% (объемная доля); г) содержание диоксида углерода не более 4% (объемная доля); д) содержание водорода не более 0,1% (объемная доля). ГОСТ 20448-90. Поставка осуществляется по купону. Автозаправочная станция должна располагаться в поселке Спитак, входящем в состав общины Спитак. Купоны предоставляются поставщиком по адресу: Шаумян 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