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ՀՀՏԿԵՆ-Ջ-ԷԱՃԱՊՁԲ-26/2  ծածկագրով էլեկտրոնային աճուրդի ընթացակարգով հեղուկ պրոպան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ՀՀՏԿԵՆ-Ջ-ԷԱՃԱՊՁԲ-26/2  ծածկագրով էլեկտրոնային աճուրդի ընթացակարգով հեղուկ պրոպան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ՀՀՏԿԵՆ-Ջ-ԷԱՃԱՊՁԲ-26/2  ծածկագրով էլեկտրոնային աճուրդի ընթացակարգով հեղուկ պրոպան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ՀՀՏԿԵՆ-Ջ-ԷԱՃԱՊՁԲ-26/2  ծածկագրով էլեկտրոնային աճուրդի ընթացակարգով հեղուկ պրոպան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ՀՀՏԿԵՆ-Ջ-ԷԱՃԱՊՁԲ-26/2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ՀՀՏԿԵՆ-Ջ-ԷԱՃԱՊՁԲ-26/2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Պրոպանաբութանային խառնուրդ, հեղուկ վիճակում, նախատեսված է որպես վառելիք օգտագործելու համար։ Ստանդարտը ԳՕՍՏ 20448-90
Մատակարարումը` կտրոնային: 
Անհրաժեշտ է, որպեսզի տրամադրված կտրոնների սպասարկման համար ապահովված լինի լիցքավորման կայանների առկայությունը Արագածոտնի, Գեղարքունիքի, Լոռու, Տավուշի, Կոտայքի, Արմավիրի, Վայոց Ձորի, Սյունիքի մարզերում, Արարատի մարզի Մխչյանի, Արտաշատի, Արարատի համայնքներում և ք. Երևանում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