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ՍԳԼ-ԷԱՃԱՊՁԲ-26/28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ՍԳԼ-ԷԱՃԱՊՁԲ-26/28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ՍԳԼ-ԷԱՃԱՊՁԲ-26/28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3DR»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ՍԳԼ-ԷԱՃԱՊՁԲ-26/28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ՍԳԼ-ԷԱՃԱՊՁԲ-26/28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ՍԳԼ-ԷԱՃԱՊՁԲ-26/28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"ՍԳԼ-ԷԱՃԱՊՁԲ-26/28"*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ՍԳԼ-ԷԱՃԱՊՁԲ-26/28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"ՍԳԼ-ԷԱՃԱՊՁԲ-26/28"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"ՍԳԼ-ԷԱՃԱՊՁԲ-26/28"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ՍԳԼ-ԷԱՃԱՊՁԲ-26/28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 принадлежностями, совместимый с МРТ. Тип разъема — IS-1, DF4. Объем устройства не более 35 см³. Имеет покрытие из парилена. Батарея химическая QHR.
Оснащен алгоритмом обнаружения высокого напряжения, который автоматически изменяет конфигурацию разряда. Должен иметь функцию обнаружения шума электрода. Высококачественная система детекции предсердных и желудочковых тахикардий. Сверхчувствительная система с высокой точностью настройки высокого зубца T. Возможность мониторинга остановок сердца. Функция антитахикардической стимуляции.
Режимы работы: DDD(R); DDI(R); VVI(R); AAI(R); DDD; DDI; VVI; AAI; AAT; DOO; VOO; AOO.
Комплект включает один МРТ-совместимый электрод с активной фиксацией, один МРТ-совместимый шоковый электрод, два рассасывающихся интродьюсера.
Должен быть совместим с программатором St. Jude Medical (Abbott).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совместимый с МРТ не менее 1,5 Тесла. Типы разъемов — IS-1, DF4/DF1.
Оснащен режимом уменьшения количества стимуляций желудочков, режимом ATP, функцией дифференциации зубца T и функцией дифференциации морфологии внутрисердечных комплексов.
Способен обнаруживать VT/VF. Верхний порог энергии дефибрилляции и кардиоверсии — не менее 35 Дж.
Режимы стимуляции: DDD(R); DDI(R); VVI(R); AAI(R); DOO; VOO; AOO.
Комплект включает один МРТ-совместимый электрод с активной фиксацией для предсердия, один МРТ-совместимый шоковый электрод, два интродьюсера.
Должен быть совместим с программатором Boston Scientific. При этом поставщик обязан предоставить программатор Boston Scientific.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3DR»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совместимый с МРТ не менее 1,5 Тесла. Типы разъемов — IS-1, DF4/DF1.
Оснащен режимом уменьшения количества стимуляций желудочков и режимом ATP.
Способен обнаруживать VT/VF. Верхний порог энергии дефибрилляции и кардиоверсии — не менее 35 Дж.
Режимы стимуляции: DDD(R); DDI(R); VVI(R); AAI(R); DOO; VOO; AOO.
Комплект включает один МРТ-совместимый электрод с активной фиксацией для предсердия, один МРТ-совместимый шоковый электрод, два интродьюсера.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совместимый с МРТ не менее 1,5 Тесла. Типы разъемов — IS-1, DF4/DF1.
Оснащен режимом уменьшения количества стимуляций желудочков, режимом ATP, функцией дифференциации зубца T и функцией дифференциации морфологии внутрисердечных комплексов.
Способен обнаруживать VT/VF. Верхний порог энергии дефибрилляции и кардиоверсии — не менее 35 Дж.
Режимы стимуляции: DDD(R); DDI(R); VVI(R); AAI(R); DOO; VOO; AOO.
Комплект включает один МРТ-совместимый электрод с активной фиксацией для предсердия, один МРТ-совместимый шоковый электрод, два интродьюсера.
Должен быть совместим с программатором Medtronic.
При поставке продавец обязан предоставить сертификат соответствия и авторизационное (гарантийно-доверительное) письмо от производителя.
При передаче изделия должно оставаться не менее 2/3 срока годности."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