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ՀԿԱԾ-ԷԱՃԱՊՁԲ-26/1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ՀԿԱԾ-ԷԱՃԱՊՁԲ-26/1 ծածկագրով ՀԿԱԾ կարիքների համար վառելիքի (բենզին, ռեգուլյար)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ՀԿԱԾ-ԷԱՃԱՊՁԲ-26/1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ՀԿԱԾ-ԷԱՃԱՊՁԲ-26/1 ծածկագրով ՀԿԱԾ կարիքների համար վառելիքի (բենզին, ռեգուլյար)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ՀԿԱԾ-ԷԱՃԱՊՁԲ-26/1 ծածկագրով ՀԿԱԾ կարիքների համար վառելիքի (բենզին, ռեգուլյար)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ՀԿԱԾ-ԷԱՃԱՊՁԲ-26/1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ՀԿԱԾ-ԷԱՃԱՊՁԲ-26/1 ծածկագրով ՀԿԱԾ կարիքների համար վառելիքի (բենզին, ռեգուլյար)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379.99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4.8785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441.32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ՀԿԱԾ-ԷԱՃԱՊՁԲ-26/1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ՀԿԱԾ-ԷԱՃԱՊՁԲ-26/1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ՀԿԱԾ-ԷԱՃԱՊՁԲ-26/1</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ՀԿԱԾ-ԷԱՃԱՊՁԲ-26/1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ՀԿԱԾ-ԷԱՃԱՊՁԲ-26/1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«ՀԿԱԾ-ԷԱՃԱՊՁԲ-26/1»*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Հարկադիր կատարումն ապահովող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ՀԿԱԾ-ԷԱՃԱՊՁԲ-26/1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«ՀԿԱԾ-ԷԱՃԱՊՁԲ-26/1»*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Հարկադիր կատարումն ապահովող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ՀԿԱԾ-ԷԱՃԱՊՁԲ-26/1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«ՀԿԱԾ-ԷԱՃԱՊՁԲ-26/1»*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ՀԿԱԾ-ԷԱՃԱՊՁԲ-26/1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«ՀԿԱԾ-ԷԱՃԱՊՁԲ-26/1»*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ավելի)-15%,այլօքսիդիչներ-10%,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5 և/կամ 10 և/կամ 20 լիտրանոց կտրոնների տեսքով՝ ՀՀ տարածքում գործող:
•  Կտրոնները պետք է ուժի մեջ լինեն տրամադրման պահից 18 ամսվա ընթացքում կամ եթե ժամկետը պակաս է 18 ամիս փոխարինել նորով, որոնց ժամկետների հանրագումարը պետք է պակաս չլինի 18 ամսից։
• Երևան քաղաքում առնվազն 20 բենզալցակայանների առկայություն,
• ՀՀ մարզերի բոլոր քաղաքներում առնվազն 2 բենզալցակայանի առկայություն կամ համապատասխան այլ բենզալցակայանների հետ կնքված պայմանագրերի առկայություն՝ կտրոններով բենզինի մատակարարումն ապահովելու համար: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