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Ռեգուլյար տեսակի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Ռեգուլյար տեսակի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Ռեգուլյար տեսակի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Ռեգուլյար տեսակի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ԴԻԼԻՋԱՆԻ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ավելի)- 15 %, այլ օքսիդիչներ-10 %:  Անվտանգությունը, մակնշումը և փաթեթավորումը անվտանգությունը՝ ըստ ՀՀ կառավարության 2004թ. նոյեմբերի 11-ի N 1592-Ն որոշմամբ հաստատված «Ներքին այրման շարժիչային վառելիքների տեխնիկական կանոնակարգի»: Վախենում է կրակից: Հրավտանգ: Մաքուր և պարզ:  Մատակարարումը՝ Կտրոնային, Դիլիջան համայնքի տարածքում: Կտրոնների տեղափոխումը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01.03.2026-05.03.2026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01.04.2026-05.04.2026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01.05.2026-05.05.2026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01.06.2026-05.06.2026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