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2026.01.21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ՀՀԿԳՄՍՆԷԱՃԱՊՁԲ-26/19</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образования, науки, культуры и спорта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В. Саргсяна 3, Дом правительства 2, Ереван</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компьютеров для 30 школ</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12</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12</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Арсен Согомонян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arsen.soghomonyan@escs.am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010-599-699 (ներքին՝ 556)</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образования, науки, культуры и спорта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ՀՀԿԳՄՍՆԷԱՃԱՊՁԲ-26/19</w:t>
      </w:r>
      <w:r w:rsidRPr="00F32D53">
        <w:rPr>
          <w:rFonts w:ascii="Calibri" w:hAnsi="Calibri" w:cstheme="minorHAnsi"/>
          <w:i/>
        </w:rPr>
        <w:br/>
      </w:r>
      <w:r w:rsidRPr="00F32D53">
        <w:rPr>
          <w:rFonts w:ascii="Calibri" w:hAnsi="Calibri" w:cstheme="minorHAnsi"/>
          <w:szCs w:val="20"/>
          <w:lang w:val="af-ZA"/>
        </w:rPr>
        <w:t>2026.01.21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образования, науки, культуры и спорта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образования, науки, культуры и спорта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компьютеров для 30 школ</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компьютеров для 30 школ</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образования, науки, культуры и спорта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ՀՀԿԳՄՍՆԷԱՃԱՊՁԲ-26/19</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arsen.soghomonyan@escs.am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компьютеров для 30 школ</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15:00</w:t>
      </w:r>
      <w:r w:rsidRPr="00F32D53">
        <w:rPr>
          <w:rFonts w:ascii="Calibri" w:hAnsi="Calibri" w:cstheme="minorHAnsi"/>
          <w:lang w:val="ru-RU"/>
        </w:rPr>
        <w:t>" часов "</w:t>
      </w:r>
      <w:r w:rsidR="003955D4" w:rsidRPr="00F32D53">
        <w:rPr>
          <w:rFonts w:ascii="Calibri" w:hAnsi="Calibri" w:cstheme="minorHAnsi"/>
          <w:lang w:val="af-ZA"/>
        </w:rPr>
        <w:t>12</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379.21</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4.8685</w:t>
      </w:r>
      <w:r w:rsidRPr="00F32D53">
        <w:rPr>
          <w:rFonts w:ascii="Calibri" w:hAnsi="Calibri" w:cstheme="minorHAnsi"/>
          <w:szCs w:val="22"/>
        </w:rPr>
        <w:t xml:space="preserve"> драмом, евро </w:t>
      </w:r>
      <w:r w:rsidR="00991780" w:rsidRPr="00F32D53">
        <w:rPr>
          <w:rFonts w:ascii="Calibri" w:hAnsi="Calibri" w:cstheme="minorHAnsi"/>
          <w:lang w:val="af-ZA"/>
        </w:rPr>
        <w:t>444.85</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2026.02.03. 15:00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Министерство образования, науки, культуры и спорта РА</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ՀՀԿԳՄՍՆԷԱՃԱՊՁԲ-26/19</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ՀՀԿԳՄՍՆԷԱՃԱՊՁԲ-26/19</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'ՀՀԿԳՄՍՆԷԱՃԱՊՁԲ-26/19'</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ՀՀԿԳՄՍՆԷԱՃԱՊՁԲ-26/19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образования, науки, культуры и спорта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"ՀՀԿԳՄՍՆԷԱՃԱՊՁԲ-26/19"*</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1"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ՀՀԿԳՄՍՆԷԱՃԱՊՁԲ-26/19</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ՀՀԿԳՄՍՆԷԱՃԱՊՁԲ-26/19</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20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 все в одном "(моноблок). Количество ядер: не менее 4, Количество потоков: не менее 6, частота: не менее 4,4 ГГц включительно, кэш-память: не менее 8 Мб. Видеокарта: встроенная, встроенное устройство оперативной памяти: не менее 8 Гб, DDR4SSD 512 ГБ pclnvme: встроенный динамик, Ethernet RJ45, комбинированный разъем для микрофона/наушников (3,5 мм). связь: не менее Wi-Fi 802.11ac и Bluetooth 5 Combo: Веб-камера: веб - камера FHD не менее 5 Мп со встроенным цифровым микрофоном. входы и разъемы-1 шт. HDMI-out, 1 шт. комбинация наушников/микрофона, 1 шт. разъем питания, 1 шт. Rj-45, не менее 2 шт. USB 2.0 и 2 шт. USB 3.1, USB type-C. шнур питания, шнур питания в комплекте, соответствует стандартам РА. клавиатура с заводским английским и русским шрифтами, мышь оптическая. компьютер, клавиатура, мышь одного и того же производителя, комплектация и упаковка заводские. Предлагаемая модель должна иметь какую-либо регистрацию: patent, copyright, Trademark.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Дефекты, выявленные в течение гарантийного срока, должны быть устранены в разумный срок, указанный Покупателем в аккредитованном сервисном центре на территории Республики Армения (замена деталей) или товар должен быть заменен на новый. Транспортировка и возврат в аккредитованный сервисный центр на территории Республики Армения осуществляется Поставщиком. Дата поставки должна быть согласована с заказчиком (тел: 010599699 592).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Также необходимо предоставить данные как минимум об одном сервисном центре, аккредитованном в Республике Армения.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согластно распределительному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