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+374263-4-22-40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ՀՀՏՄ-ԷԱՃԱՊՁԲ-26/03</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