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ԵԱՍՄ-ԷԱՃԱՊՁԲ-26/5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ԵԱՍՄ-ԷԱՃԱՊՁԲ-26/5 ծածկագրով համազգեստի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ԵԱՍՄ-ԷԱՃԱՊՁԲ-26/5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ԵԱՍՄ-ԷԱՃԱՊՁԲ-26/5 ծածկագրով համազգեստի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ԵԱՍՄ-ԷԱՃԱՊՁԲ-26/5 ծածկագրով համազգեստի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ԵԱՍՄ-ԷԱՃԱՊՁԲ-26/5 ծածկագրով համազգեստի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379.42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4.8278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441.46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ԵԱՍՄ-ԷԱՃԱՊՁԲ-26/5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ԵԱՍՄ-ԷԱՃԱՊՁԲ-26/5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ԵԱՍՄ-ԷԱՃԱՊՁԲ-26/5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ԵԱՍՄ-ԷԱՃԱՊՁԲ-26/5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հագուստի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Որոշ քանակի գունային համադրություն կարող է փոփոխվել ըստ պատվիրատուի պահանջի: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ԵԱՍՄ հապավումը,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ինքնասսոսնձվող ոչ գործվածքային կտորից, ուժեղացված գլխարկահովհարով, դիմային հատվածում ասեղնագործման կամ դաջման եղակակով տեղադրվում է հիմնարկի տարբերանշանը:
Շապիկը կարված է 160±5% գ/մ2 մակերեսային խտությամբ բարձրորակ պենյա կոմպակտ կտորից, Գործվածքի բաղադրությունը 95% բամբակ, 5% էլաստոն: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հիմնարկի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համաձայնցեվում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հիմնարկի անվանման հապավումը: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 ում հավատարմագրված կազմակերպության կողմից տրված լաբորատոր փորձարկման եզրակացություն: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25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