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ԵՋԷԿ-ԷԱՃԱՊՁԲ-26/4</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28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Природная питьевая вода, прошедшая дополнительную фазу очистки,вода должна пройти твердую очистку, угольным фильтром и очитку более нежным фильтром, быть дезинфицирована ультрафиолетовыми лучами. Безопасность согласно гигиеническим нормам 2-III-4,9-01-2010, маркировка - согласно статье 8 Закона РА «О безопасности пищевых продуктов», система безопасности пищевых продуктов сертифицирована в соответствии с требованиями стандарта ISO22000. Вода должна быть бутилирована в многоразовыe или одноразовыe контейнеры вместимостью 18,9-19 литра, которые должны иметь возможность присоединения к оборудованию горячей и холодной воды. В результате очистки вода должна сохранить свой естественный состав. Перед фильтрацией следует привести воду в соответствие со вкусом, запахом и цветом, восстановление угля следует проводить каждый день методом омывания. Поставщик обязан в течение срока действия контракта предоставить Заказчику на бесплатное пользование 16 шт  диспенсеров воды бесплатно. Каждый месяц при необходимости, следует произвести осмотр и очистку рабочего состояния, качества устройств.Поставки должны осуществляться в течение одного рабочего дня в запрашиваемом Заказчиком количестве. Срок годности: не менее 3 месяцев с момента поставки. 
Поставляемые в пользование потребителя диспенсеры и контейнеры должны быть в нормальном состоянии, неповрежденными и чистыми
Установка в ЗАО «Ереванская ТЭЦ» товара будут выполнены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условия исполнения прав и обязанностей сторон, предусмотренного договором, до 28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