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_5_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Մատակարարումը`կտրոնային: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