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4.9886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ՀՀՎԱ-ԷԱՃԾՁԲ-26/28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Տոյոտա քեմրի  /Toyota Camry/ (առնվազն 2018թ․ արտադրության), սև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S-class W223 class (առավելագույնը 5 տարվա արտադրության), սև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Sprinter 16 և ավելի տեղանոց (առավելագույնը 5 տարվա արտադրության), սև կամ սպիտակ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Viano (առավելագույնը 5 տարվա արտադրության), սև գույնի, առավելագույնը 10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Toyota Land Cruiser շարքի ամենագնացներ (առավելագույնը 5 տարվա արտադրության), սև գույնի, առավելագույնը 70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ավտոբուս 40 և ավելի տեղանոց (առավելագույնը 5 տարվա արտադրության),  առավելագույնը 5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բեռնատարների վարձակալություն` վարորդի հետ միասին․
Mercedes Sprinter բեռնատար սև կամ սպիտակ (առավելագույնը 5 տարվա արտադրության), առավելագույնը 10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