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ՆԳՆ ԷԱՃԱՊՁԲ-2026/Ս-9</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նախարարության կարիքների համար տրանսպորտային նյութերի /վառելիքի/ ձեռքբերում ՀՀ ՆԳՆ ԷԱՃԱՊՁԲ-2026/Ս-9 ծածկագրով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Սիրուշ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66 76 Պատասխանատու ստորաբաժանում՝ 010 59 64 58</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ՆԳՆ ԷԱՃԱՊՁԲ-2026/Ս-9</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ներքին գործերի նախարարության կարիքների համար տրանսպորտային նյութերի /վառելիքի/ ձեռքբերում ՀՀ ՆԳՆ ԷԱՃԱՊՁԲ-2026/Ս-9 ծածկագրով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ներքին գործերի նախարարության կարիքների համար տրանսպորտային նյութերի /վառելիքի/ ձեռքբերում ՀՀ ՆԳՆ ԷԱՃԱՊՁԲ-2026/Ս-9 ծածկագրով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ՆԳՆ ԷԱՃԱՊՁԲ-2026/Ս-9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ներքին գործերի նախարարության կարիքների համար տրանսպորտային նյութերի /վառելիքի/ ձեռքբերում ՀՀ ՆԳՆ ԷԱՃԱՊՁԲ-2026/Ս-9 ծածկագրով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14</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379.08</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4.9886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443.26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2026.02.06.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15</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ՆԳՆ ԷԱՃԱՊՁԲ-2026/Ս-9</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ՆԳՆ ԷԱՃԱՊՁԲ-2026/Ս-9</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ՀՀ ՆԳՆ ԷԱՃԱՊՁԲ-2026/Ս-9</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ԷԱՃԱՊՁԲ-2026/Ս-9</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ԷԱՃԱՊՁԲ-2026/Ս-9</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ԷԱՃԱՊՁԲ-2026/Ս-9»*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ԷԱՃԱՊՁԲ-2026/Ս-9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ՆԳՆ ԷԱՃԱՊՁԲ-2026/Ս-9»*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ԷԱՃԱՊՁԲ-2026/Ս-9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8"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ԷԱՃԱՊՁԲ-2026/Ս-9»*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ԷԱՃԱՊՁԲ-2026/Ս-9*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ՆԳՆ ԷԱՃԱՊՁԲ-2026/Ս-9</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ԷԱՃԱՊՁԲ-2026/Ս-9»*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ԷԱՃԱՊՁԲ-2026/Ս-9*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ՆԳՆ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__15___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Բակային
Արտաքին տեսքը` մաքուր և պարզ, օկտանային թիվը որոշված հետազոտական մեթոդով՝ ոչ պակաս 92, շարժիչային մեթոդով՝ ոչ պակաս 83, բենզինի հագեցած գոլորշիների ճնշումը` 45-ից մինչև 100 կՊա, կապարի պարունակությունը 5 մգ/դմ3-ից ոչ ավելի, բենզոլի ծավալային մասը 1 %-ից ոչ ավելի, խտությունը` 150C ջերմաստիճանում՝ 725-780 կգ/մ3, ծծմբի պարունակությունը` 10 մգ/կգ-ից   ոչ ավելի, թթվածնի զանգվածային մասը` 2,7%-ից ոչ ավելի, օքսիդիչների ծավալային մասը, ոչ ավելի` մեթանոլ-1%, էթանոլ-5%, իզոպրոպիլ սպիրտ-10%, իզոբուտիլ սպիրտ-10%, եռաբութիլ սպիրտ-7%, եթերներ (C5 և ավելի)-15%, այլ օքսիդիչներ-10%, անվտանգությունը, մակնշումը և փաթեթավորումը` Մաքսային միության հանձնաժողովի 2011 թվականի հոկտեմբերի 18-ի N 826 որոշմամբ հաստատված «Ավտոմոբիլային և ավիացիոն բենզինին, դիզելային և նավերի համար նախատեսված վառելիքին, ռեակտիվ շարժիչների համար նախատեսված վառելիքին և մազութին ներկայացվող պահանջների մասին» (ՄՄ ՏԿ 013/2011) Մաքսային միության տեխնիկական կանոնակարգ։ Համապատասխանում է ՀՀ ԳՕՍՏ 32513-2023 ստանդարտներին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մտնելուց 20 օր հետո  1-ին եռամսյակի համար 25 000 լիտր 2-րդ եռամսյակի համար 25 000 լիտր 3-րդ եռամսյակի համար 25 000 լիտր 4-րդ եռամսյակի համար 25 000 լիտր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