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2026.01.23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ՍԳԼ-ԷԱՃԱՊՁԲ-26/28</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Սուրբ Գրիգոր Լուսավորիչ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ք. Երևան, Գյուրջյան 10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Приглашение к процедуре закупки с кодом «ՍԳԼ-ԷԱՃԱՊՁԲ-26/28» для нужд 2026 года ЗАО «Медицинский центр „Сурб Григор Лусаворич“» с целью поставки необходимых товаров медицинского назначения посредством электронного аукциона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Աստղիկ Գյուրջյան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a.gyurjyan@keystone.am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091606942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Սուրբ Գրիգոր Լուսավորիչ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ՍԳԼ-ԷԱՃԱՊՁԲ-26/28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2026.01.23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Приглашение к процедуре закупки с кодом «ՍԳԼ-ԷԱՃԱՊՁԲ-26/28» для нужд 2026 года ЗАО «Медицинский центр „Сурб Григор Лусаворич“» с целью поставки необходимых товаров медицинского назначения посредством электронного аукциона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Приглашение к процедуре закупки с кодом «ՍԳԼ-ԷԱՃԱՊՁԲ-26/28» для нужд 2026 года ЗАО «Медицинский центр „Сурб Григор Лусаворич“» с целью поставки необходимых товаров медицинского назначения посредством электронного аукциона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Սուրբ Գրիգոր Լուսավորիչ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ՍԳԼ-ԷԱՃԱՊՁԲ-26/28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a.gyurjyan@keystone.am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Приглашение к процедуре закупки с кодом «ՍԳԼ-ԷԱՃԱՊՁԲ-26/28» для нужд 2026 года ЗАО «Медицинский центр „Сурб Григор Лусаворич“» с целью поставки необходимых товаров медицинского назначения посредством электронного аукциона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4</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кардиостимулятор-дефибриллятор»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кардиостимулятор-дефибриллятор»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кардиостимулятор-дефибриллятор 3DR»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кардиостимулятор-дефибриллятор»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15:30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381.76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4.8082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448.8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2026.02.03. 15:30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ՍԳԼ-ԷԱՃԱՊՁԲ-26/28</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ՍԳԼ-ԷԱՃԱՊՁԲ-26/28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ՍԳԼ-ԷԱՃԱՊՁԲ-26/28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ՍԳԼ-ԷԱՃԱՊՁԲ-26/28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Սուրբ Գրիգոր Լուսավորիչ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"ՍԳԼ-ԷԱՃԱՊՁԲ-26/28"*</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Սուրբ Գրիգոր Լուսավորիչ ՓԲԸ</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ՍԳԼ-ԷԱՃԱՊՁԲ-26/28</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"ՍԳԼ-ԷԱՃԱՊՁԲ-26/28"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Սուրբ Գրիգոր Լուսավորիչ ՓԲԸ*(далее — Заказчик) процедуре закупок под кодом ՍԳԼ-ԷԱՃԱՊՁԲ-26/28*.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ՍԳԼ-ԷԱՃԱՊՁԲ-26/28</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"ՍԳԼ-ԷԱՃԱՊՁԲ-26/28"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Սուրբ Գրիգոր Լուսավորիչ ՓԲԸ*(далее — Заказчик) процедуре закупок под кодом ՍԳԼ-ԷԱՃԱՊՁԲ-26/28*.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ՍԳԼ-ԷԱՃԱՊՁԲ-26/28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ՍԳԼ-ԷԱՃԱՊՁԲ-26/28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кардиостимулятор-дефибриллятор»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двухкамерный кардиовертер-дефибриллятор с принадлежностями, совместимый с МРТ. Тип разъема — IS-1, DF4. Объем устройства не более 35 см³. Имеет покрытие из парилена. Батарея химическая QHR.
Оснащен алгоритмом обнаружения высокого напряжения, который автоматически изменяет конфигурацию разряда. Должен иметь функцию обнаружения шума электрода. Высококачественная система детекции предсердных и желудочковых тахикардий. Сверхчувствительная система с высокой точностью настройки высокого зубца T. Возможность мониторинга остановок сердца. Функция антитахикардической стимуляции.
Режимы работы: DDD(R); DDI(R); VVI(R); AAI(R); DDD; DDI; VVI; AAI; AAT; DOO; VOO; AOO.
Комплект включает один МРТ-совместимый электрод с активной фиксацией, один МРТ-совместимый шоковый электрод, два рассасывающихся интродьюсера.
Должен быть совместим с программатором St. Jude Medical (Abbott).
Участник с заявкой предоставляет продукт с авторизационным письмом от производителя (гарантийно-доверительное письмо), а при выполнении договора — сертификат происхождения и сертификат соответствия от производителя. При поставке должно оставаться не менее 2/3 срока годности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кардиостимулятор-дефибриллятор»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двухкамерный кардиовертер-дефибриллятор, совместимый с МРТ не менее 1,5 Тесла. Типы разъемов — IS-1, DF4/DF1.
Оснащен режимом уменьшения количества стимуляций желудочков, режимом ATP, функцией дифференциации зубца T и функцией дифференциации морфологии внутрисердечных комплексов.
Способен обнаруживать VT/VF. Верхний порог энергии дефибрилляции и кардиоверсии — не менее 35 Дж.
Режимы стимуляции: DDD(R); DDI(R); VVI(R); AAI(R); DOO; VOO; AOO.
Комплект включает один МРТ-совместимый электрод с активной фиксацией для предсердия, один МРТ-совместимый шоковый электрод, два интродьюсера.
Должен быть совместим с программатором Boston Scientific. При этом поставщик обязан предоставить программатор Boston Scientific.
Участник с заявкой предоставляет продукт с авторизационным письмом от производителя (гарантийно-доверительное письмо), а при выполнении договора — сертификат происхождения и сертификат соответствия от производителя. При поставке должно оставаться не менее 2/3 срока годности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кардиостимулятор-дефибриллятор 3DR»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двухкамерный кардиовертер-дефибриллятор, совместимый с МРТ не менее 1,5 Тесла. Типы разъемов — IS-1, DF4/DF1.
Оснащен режимом уменьшения количества стимуляций желудочков и режимом ATP.
Способен обнаруживать VT/VF. Верхний порог энергии дефибрилляции и кардиоверсии — не менее 35 Дж.
Режимы стимуляции: DDD(R); DDI(R); VVI(R); AAI(R); DOO; VOO; AOO.
Комплект включает один МРТ-совместимый электрод с активной фиксацией для предсердия, один МРТ-совместимый шоковый электрод, два интродьюсера.
Должен быть совместим с программатором Biotronik.
Участник с заявкой предоставляет продукт с авторизационным письмом от производителя (гарантийно-доверительное письмо), а при выполнении договора — сертификат происхождения и сертификат соответствия от производителя. При поставке должно оставаться не менее 2/3 срока годности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кардиостимулятор-дефибриллятор»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двухкамерный кардиовертер-дефибриллятор, совместимый с МРТ не менее 1,5 Тесла. Типы разъемов — IS-1, DF4/DF1.
Оснащен режимом уменьшения количества стимуляций желудочков, режимом ATP, функцией дифференциации зубца T и функцией дифференциации морфологии внутрисердечных комплексов.
Способен обнаруживать VT/VF. Верхний порог энергии дефибрилляции и кардиоверсии — не менее 35 Дж.
Режимы стимуляции: DDD(R); DDI(R); VVI(R); AAI(R); DOO; VOO; AOO.
Комплект включает один МРТ-совместимый электрод с активной фиксацией для предсердия, один МРТ-совместимый шоковый электрод, два интродьюсера.
Должен быть совместим с программатором Medtronic.
При поставке продавец обязан предоставить сертификат соответствия и авторизационное (гарантийно-доверительное) письмо от производителя.
При передаче изделия должно оставаться не менее 2/3 срока годности."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ՍԳԼ-ԷԱՃԱՊՁԲ-26/28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через 20 календарных дней с момента получения Заказа Покупателя для первого этапа, для последующих этапов поставки — в течение 3 рабочих дней с момента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через 20 календарных дней с момента получения Заказа Покупателя для первого этапа, для последующих этапов поставки — в течение 3 рабочих дней с момента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через 20 календарных дней с момента получения Заказа Покупателя для первого этапа, для последующих этапов поставки — в течение 3 рабочих дней с момента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через 20 календарных дней с момента получения Заказа Покупателя для первого этапа, для последующих этапов поставки — в течение 3 рабочих дней с момента получения Заказа Покупателя.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ՍԳԼ-ԷԱՃԱՊՁԲ-26/28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ՍԳԼ-ԷԱՃԱՊՁԲ-26/28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ՍԳԼ-ԷԱՃԱՊՁԲ-26/28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