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ՎՁԲԿ-ԷԱՃԱՊՁԲ-26/27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ՎՁԲԿ-ԷԱՃԱՊՁԲ-26/27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ՎՁԲԿ-ԷԱՃԱՊՁԲ-26/27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ՎՁԲԿ-ԷԱՃԱՊՁԲ-26/27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10% 100մլ/մլ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