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ՃԱԿ-ԷԱՃԱՊՁԲ-26/09  ԾԱԾԿԱԳՐՈՎ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ՃԱԿ-ԷԱՃԱՊՁԲ-26/09  ԾԱԾԿԱԳՐՈՎ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ՃԱԿ-ԷԱՃԱՊՁԲ-26/09  ԾԱԾԿԱԳՐՈՎ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ՃԱԿ-ԷԱՃԱՊՁԲ-26/09  ԾԱԾԿԱԳՐՈՎ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 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Կտրոնային տարբերակով լիցքավորման հնարավորություն ապահովել ՀՀ բոլոր մարզերում,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Մատակարարումը՝կտրոնային: Մատակարարումը՝ Կտրոնային տարբերակով լինելու դեպքում լիցքավորման հնարավորություն ապահովել ՀՀ բոլոր մարզերում, և ք. Երևանում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