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ЗакупкаТОПЛИВО с кодом ՃԱԿ-ԷԱՃԱՊՁԲ-26/09 для нужд ЗАО «Чамбаракский оздоровительный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ЗакупкаТОПЛИВО с кодом ՃԱԿ-ԷԱՃԱՊՁԲ-26/09 для нужд ЗАО «Чамбаракский оздоровительный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ЗакупкаТОПЛИВО с кодом ՃԱԿ-ԷԱՃԱՊՁԲ-26/09 для нужд ЗАО «Чамбаракский оздоровительный центр»</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ЗакупкаТОПЛИВО с кодом ՃԱԿ-ԷԱՃԱՊՁԲ-26/09 для нужд ЗАО «Чамбаракский оздоровительный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Центр Здоровья Чамбарак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ՃԱԿ-ԷԱՃԱՊՁԲ-26/09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ՃԱԿ-ԷԱՃԱՊՁԲ-26/09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°C: от 720 до 775 кг/м3, содержание серы: не более 10 мг/кг, массовая доля кислорода: не более 2,7%, объемная доля окислителей: метанол-3 %, этанол-5 %, изопропиловый спирт-10%, изобутиловый спирт-10 %, триб бутиловый спирт-7 %, эфиры (C5 и более)-15 %, другие оксиды-10 %, безопасность, маркировка и пакетами по данным правительства РА, 2004. 11 ноября в N 1592-Н«, утвержденной решением Внутреннего сгорания моторного топлива техническому регламенту»: Снабжение катрин, Катрин способами зарядки возможность обеспечить во всех областях, и г. Регион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51.цетановый индекс не менее 46. плотность при 150 ° C 820-845 кг/м3. массовая доля полициклических ароматических углеводородов: не более 11%. содержание серы: не более 10 мг/кг. температура воспламенения: не ниже 55 ° C. углеродный остаток /коксуемость/ не более 0,3% в осадке 10%. вязкость при 400 ° c: 2,0-4,5 мм2/с. Температура размытия: не выше 5 ° C. поставка: купонная. поставка: в случае купонной версии обеспечить возможность зарядки во всех регионах РА и г. Ереван. Безопасность, маркировка и упаковка в Ереване в соответствии с постановлением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с даты вступления в силу заключенного между сторонами соглашения, при поэтапной поставке срок поставки для первого этапа составляет 20 календарных дней,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с даты вступления в силу заключенного между сторонами соглашения, при поэтапной поставке срок поставки для первого этапа составляет 20 календарных дней,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