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2026.01.26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ԵՊՀ-ԷԱՃԱՇՁԲ-26/19</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12:00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12:00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ԵՊՀ-ԷԱՃԱՇՁԲ-26/19</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2026.01.26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ԵՊՀ-ԷԱՃԱՇՁԲ-26/19</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6</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6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6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8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10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6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8 թերթ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379.07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4.9884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444.84</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2026.02.09. 12:00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10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ԵՊՀ-ԷԱՃԱՇՁԲ-26/19</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ԵՊՀ-ԷԱՃԱՇՁԲ-26/19</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«ԵՊՀ-ԷԱՃԱՇՁԲ-26/19»*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ԵՊՀ-ԷԱՃԱՇՁԲ-26/19*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«ԵՊՀ-ԷԱՃԱՇՁԲ-26/19»*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ԵՊՀ-ԷԱՃԱՇՁԲ-26/19*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ապրիլի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ուսումնական գործընթացի վերահսկման բաժին</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6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թերթ, Չափս` 32/45, ծալված վիճակում` 32/22.5, պանտոն տպագրություն, մետաղակար (կարը 2 տեղից), թուղթ օֆսեթ 60 գր.,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6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թերթ, Չափս` 32/45, ծալված վիճակում` 32/22.5, պանտոն տպագրություն, մետաղակար (կարը 2 տեղից), թուղթ օֆսեթ 60 գր., տողանի կոդավորված հատուկ դիզայնով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8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թերթ, Չափս` 32/45, ծալված վիճակում` 32/22.5, պանտոն տպագրություն, մետաղակար (կարը 2 տեղից), թուղթ օֆսեթ 60 գր.,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10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թերթ, Չափս` 32/45, ծալված վիճակում` 32/22.5, պանտոն տպագրություն, մետաղակար (կարը 2 տեղից), թուղթ օֆսեթ 60 գր.,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6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թերթ, Չափս` 32/45, ծալված վիճակում` 32/22.5, պանտոն տպագրություն, մետաղակար (կարը 2 տեղից), թուղթ օֆսեթ 60 գր.,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8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թերթ, Չափս` 32/45, ծալված վիճակում` 32/22.5, պանտոն տպագրություն, մետաղակար (կարը 2 տեղից), թուղթ օֆսեթ 60 գր., վանդակավոր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2026թ.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6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6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8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10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6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8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