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գրադարանի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գրադարանի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գրադարանի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գրադարանի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Թերմոթրանսֆերային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Թերմոթրանսֆերային տպիչի ներկող ժապավեն (ռիբոն)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թերմոթրանսֆերային պիտակ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ԳՐԱԴԱՐԱՆԻ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ապրիլի30-ը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գրադարան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Թերմոթրանսֆերային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20-112 մմ լայնության պիտակների թերմո և թերմոթրանսֆերային տպագրության համար: 
Առավելագույն տպման թույլտվություն՝ 203 dpi: Տպման արագություն՝ մինչև 152 մմ/վրկ, առավելագույն տպման լայնությունը՝ 108 մմ: Միացման տեսակ՝ USB/RS-232: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Թերմոթրանսֆերային տպիչի ներկող ժապավեն (ռիբոն)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գրադարանային շտրիխկոդերի և գրքային պիտակների թերմոթրանսֆերային տպագրության համար:  
Ներկող ժապավենի չափերը՝ երկարությունը մինչև 300 մ, լայնությունը՝ նվազագույնը 40 մմ, առավելագույնը՝ 110 մմ,  առավելագույն արտաքին տրամագիծը՝ 67 մմ, միջուկը՝ 1", տեսակը՝ Wax/Resin Ribbon Ink Out: Տպագրության ջերմաստիճան՝ 70–90°C, գույնը՝ սև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թերմոթրանսֆերային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ինքնակպչուն պիտակներ: Նախատեսված են թերմոտրանսֆերային տպագրության համար, պիտակների նյութը՝ կիսասինթետիկ (Semi-Synthetic / PP / PE / PET Mix): 
Չափսերը՝ 43x25մմ: 
Մեկ հատը համարժեք է մեկ տուփի, որը պարունակում է 1000 միավոր պիտակ: 
Արտադրված ոչ շուտ, քան 2024 թ.-ը: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Թերմոթրանսֆերային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Թերմոթրանսֆերային տպիչի ներկող ժապավեն (ռիբոն)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թերմոթրանսֆերային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