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хозяйственной ценности для нужд общины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ԳՄՄՀ-ԷԱՃԱՊՁԲ-26/03</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хозяйственной ценности для нужд общины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хозяйственной ценности для нужд общины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хозяйственной ценности для нужд общины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5.12</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18</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«более обычный
Для уборки пола в помещении, натуральный,
местного производства,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микрофибры 100х60 см, 80% полиэстер, 20% полиамид,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или трехслойная, 9,8 см x 12,5 см, 150 листов,
длина 18,75 м, изготовлена ​​из писчей бумаги,
газетной бумаги и других бумажных отходов,
одобрена для производства санитарно-гигиенических изделий.
Безопасность, упаковка и маркировка:
в соответствии с «Техническим регламентом требований к бытовым и санитарным изделиям и изделиям из химических волокон», утвержденным Постановлением Правительства Республики Армения № 1546-Н от 19 октября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5-литровые контейнеры. Мыло изготовлено из поверхностно-активных веществ и фотоэкстрактов различных биологически активных веществ, ароматное, с концентрацией ионов водорода 7-10 pH, содержанием нерастворимых в воде примесей не более 15%, содержанием неомыляемых органических веществ и жиров не более 0,5%, плотностью 2000 кг/м³.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в аэрозольном баллончике объемом не менее 300 мл. Безопасность, маркировка и упаковка соответствуют «Техническим регламентам по поверхностно-активным веществам и моющим средствам и чистящим средствам, содержащим поверхностно-активные вещества», утвержденным Постановлением Правительства Республики Армения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вакуумный аэрозольный баллончик 240 мл, натуральные масла, растворители, парфюмерные ингредиенты, Glade, Bref или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гель-дезинфицирующее средство, моющее средство для керамических поверхностей. Удаляет отложения, обладает бактерицидным и дезинфицирующим действием, имеет дезодорирующий запах. Состав: не менее 5% гипохлорита натрия, не менее 5% анионных поверхностно-активных веществ, не менее 5% ионных поверхностно-активных веществ, не менее 5% мыла, не менее 5% одоранта. Эффективность очистки: не менее 95%, в заводских 1-литровых емкостях. Остаточный срок годности на момент поставки не менее 1 года. Продукт должен иметь сертификат качества, наличие сертификата качества на момент поставки обязательно (domestos или эквивалентный).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