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ՀՀԳՄՎՀ-ԷԱՃԱՊՁԲ-26/07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 Վարդենիսի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Վարդենիս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закупка продуктов питания для 11 детских садов, находящихся в ведении муниципалитета Вардениса.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Արևիկ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vardenis.gnumner@mail.ru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+374-98-28-80-63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 Վարդենիսի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ՀՀԳՄՎՀ-ԷԱՃԱՊՁԲ-26/07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 Վարդենիսի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 Վարդենիսի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закупка продуктов питания для 11 детских садов, находящихся в ведении муниципалитета Вардениса.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закупка продуктов питания для 11 детских садов, находящихся в ведении муниципалитета Вардениса.</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 Վարդենիսի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ՀՀԳՄՎՀ-ԷԱՃԱՊՁԲ-26/07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vardenis.gnumner@mail.ru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закупка продуктов питания для 11 детских садов, находящихся в ведении муниципалитета Вардениса.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ՀՀԳՄՎՀ-ԷԱՃԱՊՁԲ-26/07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Գեղարքունիքի մարզ Վարդենիսի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ՀՀԳՄՎՀ-ԷԱՃԱՊՁԲ-26/07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ՀՀԳՄՎՀ-ԷԱՃԱՊՁԲ-26/07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ՀՀԳՄՎՀ-ԷԱՃԱՊՁԲ-26/07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«Матнакаш» и «Раздан»; изготовлено из пшеничной муки второго сорта, без добавления животных или растительных масел, без дрожжей, АСТ 31-99 или эквивалент. Упаковка: в один полиэтиленовый пакет для пищевых продуктов, большего размера, чем длина и ширина буханки. Упаковка хлеба: не нагревается.
Безопасность, маркировка и упаковка: в соответствии с «Безопасностью пищевых продуктов» (ТС 021/2011), принятым Постановлением Комиссии Таможенного союза от 9 декабря 2011 г. № 880, «Продуктовыми продуктами питания с точки зрения их маркировки» (ТС 022/2011), принятым Постановлением Совета Евразийской экономической комиссии от 9 декабря 2011 г. № 881, утвержденным Постановлением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веществ» (ТС 022/2011). 029/2012), Технические регламенты «О безопасности упаковки» (ТС 005/2011), принятые Решением Комиссии Таможенного Союза № 769 от 16 августа 2011 г.
Остаточный срок годности не менее 90%.
Поставка осуществляется ежедневно с 08:00 до 08:45.
В случае поставки хлеба, при несоответствии техническим требованиям или условиям поставки, срок для исправления несоответствия составляет 30 минут.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Приказом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пищевые продукты» и графиком выдачи санитарного паспорта «О согласовании образца», должны иметь санитарные паспорта.
Поставка осуществляется за счет средств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для фактически поставленного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объемах, указанных в соглашении, которое будет заключено между Сторонами, при условии предоставления соответствующих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