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оборудования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ԱԲԿ-ԷԱՃ-ԱՊՁԲ-2026/17</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оборудования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оборудования в 2026 году</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оборудования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штрихкодов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Արտաշատի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ԱԲԿ-ԷԱՃ-ԱՊՁԲ-2026/17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ԱԲԿ-ԷԱՃ-ԱՊՁԲ-2026/17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содержимого интерфейса MOXA NPort 5110 или эквивалентный. Технические характеристики: • Настройки устройства должны обеспечивать возможность работы как минимум с последовательной консолью, утилитой Windows, консолью Telnet и веб-консолью (HTTP). • Количество интерфейсов: 2, RS232 и 10/100BaseT(X) RJ45. • Управление устройством должно обеспечивать возможность работы как минимум с DHCP-клиентом, IPv4, SMTP, Telnet, DNS, HTTP, ARP, BOOTP, UDP, TCP/IP и ICMP. • Наличие защиты от магнитной изоляции не менее 1,5 кВ (встроенная). • Стандарты безопасности не ниже EN 62368-1, IEC 62368-1 и UL 60950-1. • Электромагнитная восприимчивость (ЭМС) должна соответствовать как минимум: o IEC 61000-4-2 ESD: Контакт: 4 кВ; Воздух: 8 кВ, IEC 61000-4-3 RS. От 80 МГц до 1 ГГц. 3 В/м, IEC 61000-4-4 EFT. Мощность: 1 кВ; Сигнал: 1 кВ, IEC 61000-4-5 Surge. Мощность: 1 кВ, IEC 61000-4-6 CS. От 150 кГц до 80 МГц. 3 В/м; Сигнал: 3 В/м I o IEC 61000-4-8 PFMF IEC 61000-4-11 • Среднее время безотказной работы (MTBF) не менее 3 126 448 часов • Наличие программного обеспечения (драйвера) для Windows 11, 10, 8.1, 8, 7, Vista, XP, Windows Server 2022, 2019, 2016, 2012 R2, 2012, 2008 R2, 2008, 2003 и Windows Embedded CE 6.0, 5.0, а также Windows XP Embedded • Данные аутентификации хранятся на устройстве • Режимы работы: выключено, Ethernet-модем, парное соединение, реальный COM, обратный Telnet, TCP-клиент, TCP-сервер, UDP • Гарантийный срок производителя не менее 1 года. В комплект поставки должны входить аксессуары для устройства и гарантийный талон. В каждом контексте следует понимать выражение «или эквивалент» в соответствии с требованиями, изложенными в части 5 статьи 13 Закона Республики Армения о государственных закупках. Продукт должен быть неиспользованным. Заводская упаковка обязательна. Поставщик осуществляет транспортировку и разгрузку продукта в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штрихкодов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штрихкодов для сканирования штрихкодов на пробирках с кровью. Технические характеристики: • Интерфейс – USB, длина кабеля не менее 1,5 м • Совместимость с операционными системами Windows 11, 10, 8.1, 8, 7 • Типы считываемых штрихкодов – Code11, Code39, Code93, Code32, Code128, Coda Bar, UPC-A, UPC-E, EAN-8, EAN-13, ISBN/ISSN и другие, а также возможность настройки префиксов, суффиксов и завершающих строк • Гарантия не менее 1 года. В комплект поставки должны входить аксессуары для устройства и гарантийный талон. Условия, установленные для товара: Во всех ссылках выражение «или эквивалент» понимается в соответствии с требованиями, изложенными в части 5 статьи 13 Закона Республики Армения о закупках. Изделие должно быть неиспользованным. Заводская упаковка обязательна. Поставщик осуществляет транспортировку и разгрузку изделия в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штрихкодов с USB-подключением для маркировки пробирок с кровью. Технические характеристики: • Метод печати: прямая термопечать • Разрешение: 8 точек/мм (203 DPI) • Максимальная скорость печати: 152 мм/с • Максимальная ширина печати: 108 мм/с • Толщина бумаги: от 0,06 мм до 0,25 мм • Ширина бумаги: от 20 мм до 115 мм • Длина бумаги: от 10 мм до 1778 мм • Тип штрихкода: одномерный штрихкод. Code 39, Code 93, Code 128UCC, Code 128, подмножества A, B, C, Codabar, Interleaved 2 of 5, EAN-8, EAN-13, EAN-128, UPC-A, UPC-E, EAN и UPC 2(5) digits add-on, MSI, PLESSEY, POSTNET, China POST, GS1 DataBar, Code11․ Двумерный штрихкод: PDF-417, Maxicode, DataMatrix, QR-код, Aztec • Гарантия 1 год. В комплект поставки должны входить аксессуары для устройства и гарантийный талон, а также рулон из 50 самоклеящихся этикеток размером 55 мм x 30 мм. Условия, установленные для товара: Во всех ссылках следует понимать выражение «или эквивалент» в соответствии с требованиями, изложенными в части 5 статьи 13 Закона Республики Армения о государственных закупках. Товар должен быть неиспользованным. Заводская упаковка обязательна. Поставщик осуществляет транспортировку и разгрузку товара в центре.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не позднее чем через 20 календарных дней с даты вступления в силу 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не позднее чем через 20 календарных дней с даты вступления в силу 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не позднее чем через 20 календарных дней с даты вступления в силу 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