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2026.01.29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 ՆԳՆ ԷԱՃԱՊՁԲ-2026/Է-8</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специальных оборудований и принадлежностей  для нужд МВД РА под кодом HH NGN EACHAPDZB-2026/E-8</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15</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15</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Էռնա Մնացականյան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 59 64 86 Պատասխանատու ստորաբաժանում՝ 094 433060</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ԷԱՃԱՊՁԲ-2026/Է-8</w:t>
      </w:r>
      <w:r w:rsidRPr="00F32D53">
        <w:rPr>
          <w:rFonts w:ascii="Calibri" w:hAnsi="Calibri" w:cstheme="minorHAnsi"/>
          <w:i/>
        </w:rPr>
        <w:br/>
      </w:r>
      <w:r w:rsidRPr="00F32D53">
        <w:rPr>
          <w:rFonts w:ascii="Calibri" w:hAnsi="Calibri" w:cstheme="minorHAnsi"/>
          <w:szCs w:val="20"/>
          <w:lang w:val="af-ZA"/>
        </w:rPr>
        <w:t>2026.01.29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специальных оборудований и принадлежностей  для нужд МВД РА под кодом HH NGN EACHAPDZB-2026/E-8</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специальных оборудований и принадлежностей  для нужд МВД РА под кодом HH NGN EACHAPDZB-2026/E-8</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ԷԱՃԱՊՁԲ-2026/Է-8</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специальных оборудований и принадлежностей  для нужд МВД РА под кодом HH NGN EACHAPDZB-2026/E-8</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3</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Полуботинки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75914560.26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(Куртка и брюки  пожарных, огнестойкие)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40193460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снаряжение и аксессуары/Комплект рабочей  униформы,  бирюзовый/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15</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378.86</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4.9531</w:t>
      </w:r>
      <w:r w:rsidRPr="00F32D53">
        <w:rPr>
          <w:rFonts w:ascii="Calibri" w:hAnsi="Calibri" w:cstheme="minorHAnsi"/>
          <w:szCs w:val="22"/>
        </w:rPr>
        <w:t xml:space="preserve"> драмом, евро </w:t>
      </w:r>
      <w:r w:rsidR="00991780" w:rsidRPr="00F32D53">
        <w:rPr>
          <w:rFonts w:ascii="Calibri" w:hAnsi="Calibri" w:cstheme="minorHAnsi"/>
          <w:lang w:val="af-ZA"/>
        </w:rPr>
        <w:t>449.33</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2026.02.16.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Министерство внутренних дел РА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 ՆԳՆ ԷԱՃԱՊՁԲ-2026/Է-8</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 ՆԳՆ ԷԱՃԱՊՁԲ-2026/Է-8</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ԷԱՃԱՊՁԲ-2026/Է-8'</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ԷԱՃԱՊՁԲ-2026/Է-8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ԷԱՃԱՊՁԲ-2026/Է-8"*</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ԷԱՃԱՊՁԲ-2026/Է-8</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ԷԱՃԱՊՁԲ-2026/Է-8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ԷԱՃԱՊՁԲ-2026/Է-8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29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Полуботинки
Черного цвета, из натуральной кожи, толщиной 1,3-1,5 мм. Состоит из лицевой части, межподошвы, основной вставки, съемной вставки, подошвы. Лицевая часть изготовлена  из комбинации гладкой и комбинированной кожи с отделкой. Задняя часть состоит из 2 деталей: кожи и искусственной замши. Сзади, над щиколоткой, находится репс шириной 3 см, благодаря которому надевание обуви будет легким и быстрым. Подошва состоит из двух компонентов: верх из полиуретана, а рельефная часть, контактирующая с полом, из износостойкой резины. Рельефная часть подошвы имеет глубокие самоочищающиеся узоры. Верх соединен с подошвой методом литья. Материал подошвы вдавливается в форму и выполняется формование формы, благодаря чему выполняется формование с заготовкой верха обуви по стандарту. ГОСТ144-96 (5.2) На рельефной центральной части подошвы указан размер обуви. Размеры и способ измерения подошвы показаны в таблице 1.1.
Основная вставка состоит из склеенной вместе цельной бумаги для обуви толщиной 2,0-2,2 мм, которая продолжается до носка и в которую вставляется металлический супинатор. Носовая часть и пятка жесткие и имеют вставки из термопластичного материала, которые обеспечивают дополнительную жесткость и восстанавливаются, для защиты от ударов и деформации, дополнительно облицованы материалом из микрофибры и поливинилхлорида или аналогичным материалом, что обеспечит дополнительную защиту от механических повреждений и царапин, толщиной не менее 0,8-1,2 мм в носовой части и 1,5-1,6 мм в пяточной части.
Кожаные детали с обратной стороны обработаны тканью с термоклеем, что придаст лицевой стороне дополнительную прочность и придаст умеренную стабильность размеров. По краю спинки и язычка, между лицевой стороной и промежностью находится эластичная пористая синтетическая ткань, которая проходит по всей лодыжке, от лодыжек до щиколоток. Весь край верха полуботинок пришивается складкой внутрь.
Межподошва ламинирована одной общей мембраной /пленкой/, которая является водонепроницаемой и воздухопроницаемой (таблица 2 и 3). Для обеспечения полной водонепроницаемости все швы на межподошве герметизируются специальной лентой (таблица 4).
Боковые стороны сшиваются с изнаночной стороной тремя строчками, боковые и изнаночные швы по две строчки.
На центральной оси передней панели расположены 5 пар металлических колец и одна пара крючков.
Съемный-вставной вкладыш имеет анатомический профиль и двухслойный, толщиной до 2,5 мм (таблица 5). Внешний вид показан в (Приложение 3). 
Разница в массе правой и левой полупары полуботинок не превышает 15 граммов. Шнуркование выполняется синтетическим химическим волокном из ниток черного цвета, конечности каждой из которых обработаны термообработкой. Длина шнурков: 120-125 см. Форма для обуви должна соответствовать требованиям ГОСТ 3927-88.
Прочность швов в соответствии с ГОСТ 447 должна составлять 115 Н / см или 11,5 кг/см.
Внешний вид в соответствии с фотографией (Приложение 2).
За месяц до поставки организация-поставщик представляет изготовленный образец на утверждение.   Упаковка в картонные коробки с отверстиями, 10 пар в коробках. Коробки маркированы, на этикетках должны быть указаны наименование ассортимента, количество, размеры, название организации-производителя, месяц и год изготовления. Размеры согласовать с заказчиком. В случае брака, обнаруженного после поставки, поставщик обязан заменить его по требованию заказчика.
Из поставляемого количества полуботинок, за счет финансовых затрат поставщика проводятся следующие лабораторные испытания. В обязательном порядке за счет поставщика проводится лабораторная проверка.
- Определение разрывной нагрузки на подошву и верх,
 - Определение толщины кожи,
 - Определение толщины подошвы, 
- Определение состава подошвы, 
- Определение способа соединения подошвы, 
- Определение толщины, состава съемно-вставной вставки
Приложение 1
№
հп/н	названия используемиь  деталеи	Метод тестирования	Значение критерия
			Контактный слой (ластик)	Слой без трения (полиуретан)
1	Плотность, г / см3	ГОСТ 267
ГОСТ 409	0,50±0,5	0,50±0,5
	Условная прочность при растяжении, МПа	ГОСТ 270
ГОСТ Р 54553	 меньше чем 12,0	меньше чем7,3±0,3
3	Износостойкость, Дж/мм3	ГОСТ 426	Не меньше чем 24,0	
1.1.1 размеры и способ измерения подошвы показаны в таблице 1.1
Таблица 1.1
Измеряемый участок	Метод измерения и эталон
Толщина носовой части в точке опоры	без ребер, в случае продольного разреза, вместе с отметкой должна составлять 16±1 мм
Толщина пятки	без ребер, в случае продольного разреза, вместе со следом: 22±1 мм
Глубина следа	3-4±0,5 մմ
1.1	одна общая мембранная ламинированная перегородка (мешени) представленные физико-механические стандарты как показано в таблице 2:
№
հп/н	название стандарта 	Норма	 Метод тестирования
1	Ингредиенты, %: 
1.	Слой трикотаж, полиамид 
полиэстер 
1	2. Слой- двухкомпонентная мембрана на основе ПТФЭ (политетрафторэтилена) 
2	3. Слой  трикотажной ткани,  полиамид	70±5%
30±5%
100%	ГОСТ ISO 
1833
2	Общая поверхностная плотность, г/м2	250±30	ГОСТ 3811
3	Общая толщина, мм	0,8±0,15	ГОСТ 12023
4	 Сопротивление трению, циклы, не менее
 Сухое трение 
Влажное трение	
102400
51200	ГОСТ Р 12.4.295
(п. 6.12)
5	Устойчивость к потоотделению, баллы	≥ 3-4	ГОСТ 
Р ISO 105-Е04
6	Стойкость краски к трению, пресс-подборщик	≥ 3-4	ГОСТ ISO 
105-X12
7	Термостойкость: RC (коэффициент теплового сопротивления), 10-3 м2К/Вт	≤15	ГОСТ 
ISO 11092
8	Стойкость к водяному пару: Ret  (коэффициент сопротивления проникновению пара), м2па/Вт	≤15	ГОСТ ISO 11092
9	Водостойкость, мбар	»1000	ГОСТ 51553
1.2	двухкомпонентный на основе политетрафторэтилена представленные физико-механические стандарты мембраны как показано в таблице 3:
Таблица 3
№
П/Н	Название стандарта	Норма	 Метод тестирования
1	Паропроницаемость, мг / см2, не менее	75	ГОСТ
 P 12.4.287
2	По отношению к воде долговечность, мм водяного столба, не менее	10000	 ГОСТ 51553
1.3	Из лент, наложенных для герметизации швов представленные физико-механические стандарты как показано в таблице 4.
Таблица 4
№
п/н	Название стандарта	Норма	Тестирование метод
1	Ширина, мм	22±1	ГОСТ 3811
2	Ингредиенты, %
1	слой- полиамидная  ткань 
2	слоя-пленка
3	полиуретан 	  
100
100	ГОСТ ISO 1833
3	Общая поверхностная плотность г/м2
	210±15	ГОСТ 8845
 4	Толщина мембраны, мкм, не менее
	35	ГОСТ 12023
Физико-механическая съемная вставка критерии представлены в таблице 5.
Таблица 5
Название детали	Материалы
Съемный-вставной язычок	1-й слой трикотажной ткани Слой 2 –EVA (этиленвинилацетат)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(Куртка и брюки  пожарных, огнестойкие)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куртки и брюк по согласованию с заказчиком. Брюки должны застегиваться на молнию из негорючего и прочного полиэстера с застежками- молнией, клапаном и застежкой-липучкой и иметь широкий, хорошо облегающий пояс. Брюки должны иметь съемные подтяжки  Н-образного типа из прочной эластичной ленты, длина которых регулируется с помощью двойных пряжек безопасности и петли для вытягивания. Боковой карман брюк должен быть на липучке и клапане, расположенный в верхней центральной части кармана. На талии брюк с каждой стороны должна быть нейлоновая пряжка, с помощью которой можно регулировать размер брюк. Колени, локти и плечи должны иметь усиления и быть изготовлены из двухслойной ткани, устойчивой к температуре не ниже 300°С. Для повышения видимости в нижнюю треть брюк должна быть вшита светоотражающая полоска (лента) ярко-лимонного и серебристого цвета. 
 Куртка должна плотно застегиваться на молнию (функция быстрого расстегивания) и техническую застежку (с прикрытым клапаном). Воротник куртки должна иметь застежку-липучку, обеспечивающую полную защиту шеи. Также он должен иметь два нижних притачных кармана с клапаном, которые также должны закрываться на техническую застежку или молнию. На левой груди должен быть карман для радио с клапаном и застежкой-липучкой. Внизу внутренней части куртки  имеется водонепроницаемая ткань, предотвращающая попадание воды внутрь одежды. На верхнюю и нижнюю часть куртки, а также на рукава  пришиваются ярко-лимонные и серебристые светоотражающие ленты для повышения видимости (детали согласовывать с покупателем).
На спине куртки должен быть размещен логотип службы (дизайн, тон, размеры согласовываются с заказчиком). Состав: Внешняя ткань куртки и брюк должна быть изготовлена из соответствующего материала арамидного волокна параарамидной, метаарамидной или арамидной сополимерной структуры. Внутренняя часть куртки должна состоять как минимум из 3 слоев. Куртка и брюки должны иметь: водонепроницаемую и паропроницаемую мембрану, которая должна быть изготовлена из материала типа политетрафторэтилена (ПТФЭ) или полиуретана, а также термозащитный слой, выполненный из материала параарамидной, метаарамидной или сополимерной структуры арамидного волокна, который устойчив к температурному воздействию не менее 300С; строчки и швы на куртке и брюках должны быть выполнены огнестойкими нитками. Униформа (куртка и брюки) и вспомогательные материалы (молнии), технические застежки (пряжки), светоотражающие ленты и другие детали должны соответствовать требованиям стандарта EN 469. Светоотражающие ленты, предназначенные для повышения видимости, должны пришиваться к униформе двумя параллельными нитками. Состав нижнего слоя светоотражающей ленты должен быть выполнен из куска арамидного волокна параарамидной, метаарамидной или арамидной сополимерной структуры, устойчивого к температурному воздействию не менее 300С. Все швы должны быть ровными и пропорциональными.
Пօстовщик должен предоставить образец продукции и отчет лаборатории с соответствующей аккредитацией по следующим параметрам: 
1) Состав и вес поверхностного материала.
2) При наличии наколенников - состав материала и термостойкость. 
3) Манжеты куртки - состав материала и термостойкость. 
4) Состав и термостойкость светоотражающих лент. 
5) Xf2 - теплопередача пламени, согласно стандартному методу испытаний EN 367. 
6) X72 - теплопередача - при испытании на тепловое излучение в соответствии с методом испытаний стандарта EN 6942. 
7) Y2- водонепроницаемость в соответствии со стандартным методом испытаний EN 20811. 
8) 22 - воздухопроницаемость - устойчивость к водяному пару, согласно стандартному методу испытаний EN 31092.
Участник тендера также должен предоставить информацию, документ о подтверждении качества, выданный производителем, где будет указано - основные характеристики предлагаемого товара (состав ткани и вес) и защитные функции согласно требованиям стандарта EN469: 
1. Теплопередача - во время испытания пламенем (XF2), 
2. Теплопередача - при испытании на тепловое излучение (XR2), 
3. Индекс водонепроницаем ости (Y2). 
4. Показатели стандарта EN 6942. 7) Y2- водонепроницаемость в соответствии со стандартным методом испытаний EN 20811. 5) 22 - воздухопроницаемость - устойчивость к водяному пару, согласно стандартному методу испытаний EN 31092. Поставщик предоставляет документ о подлинности цвета и состава ткани, выданный производителем ткани. В обязательном порядке за счет поставщика проводится лабораторная проверка.
Размеры согласовать с заказчиком.
Упаковка: Ассортимент по 1 шт. в прозрачных полиэтиленовых пакетах, по 1 шт. в пакете.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снаряжение и аксессуары/Комплект рабочей  униформы,  бирюзовый/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форма состоит  из брюк, куртки и кепи. Поверхностная плотность ткани не менее 210 5 грамм/м2, состав 50 2% полиэстер, 50 2% хлопок. Цвет: темный фиолетовый (зеленовато-синий). Цвет ткани по предварительному согласованию с Заказчиком.  Куртка однобортная, застегивается по центру на 5 кольцевых пуговиц, первая пуговица сверху расстегнута, остальные 4 спрятаны. Воротник  5 +/-0,5 см. ширины, назад складной, прямоугольный, воротник имеет вешалку в соединительном шве. Спереди 4 объемных кармана с клапанами, два на груди и два по бокам спереди. Нагрудные карманы шириной 14 +/-1см. и длиной 16+/-1см , расположенные на расстоянии 4+/-1см от центрального вертикального шва, с клапаном шириной 12см, для радиосвязи. Слева от груди на клапане бокового кармана на расстоянии 1 см от нижнего края пришиты черные липучки размером 13Х2,5 см. На клапане левого кармана 13х2,5 см вышита «Группа крови», на ткани черного цвета бежевыми  нитьями. Клапаны  карманов закрываются двойными липучками.  Передние боковые накладные карманы шириной 16-17см и длиной 19-20см, ширина клапанов 6см. Карманы расположены на 3 см выше внутреннего края пиджака, которые крепятся к клапанам двумя черными липучками размером 3х2,5 см. На талии имеются 2 регулятора шириной 4 см для регулировки размера туловища, застегивается на 1 петлю и 2 пуговицы. По всему нижнему краю куртки имеется паз для шнура диаметром не менее 5 мм с пластиковыми ручками на концах. На концах рукавов имеются прямоугольные складки, которые застегиваются на 1 кольцо и 2 пуговицы на подлокотнике.  На 7 см ниже правого предплечия пришывается логотип Службы Спасения. Поставщик заранее согласовывает образец логотипа с заказчиком. В центральной части спинки куртки, на расстоянии 13 см от соединительного шва воротника, белой нитью вышивается «ՓՐԿԱՐԱՐ ԾԱՌԱՅՈՒԹՅՈՒՆ» шрифт размером 4Х2,5Х0,3см (высота Х ширина Х толщина).  Цвета логотипов согласовываются с Заказчиком перед поставкой. По длине куртки, до стыковочного шва рукавов, на расстоянии 10-11 см от стыковочного шва воротника проложена светоотражающая серебряная лента шириной 5+/-0,2 см, на 2,5 см. ниже светоотражающей серебрянной ленты в центральной части, белыми нитками размером 4Х2,5Х0,3 см (высота х ширина х толщина) вышито шрифтом «ՓՐԿԱՐԱՐ ԾԱՌԱՅՈՒԹՅՈՒՆ» Качество и цвет светоотражающей ленты серебристого цвета предварительно согласовываются с Заказчиком.
Брюки прямого кроя с разработанным поясом и боковыми прорезными карманами спереди. Гульфик представляет собой цепочку, которая застегивается на поясе с помощью металлического крючка и одной пуговицы. Пояс выполнен с 7 кольцами и 2 регуляторами для регулировки размера, шириной 3см и длиной 8см, для регулировки размера туловища застегивается на 1 петлю и 2 пуговицы. По бокам брюк, выше колена, предусмотрены объемные накладные карманы шириной 20+/-1см и длиной 22+/-1см с клапанами. Ширина складок 2+/-0,5см, загибается снизу 1,5см. На правой стороне зада брюк имеется карман размером 15х15см с клапаном. Клапаны крепятся двумя черными липучками. Сидальная часть полностью обработано двойной тканью. Две светоотражающие серебряные ленты шириной 5+/-0,2 см пришиваются в круговую на 8 см ниже колена. Все швы униформы выполняются закрытыми двойными строчками. На униформу нашиты только сигнальные светоотражающие ленты повышенной видимости.
Кепи, на подкладке, состоящее из жесткого козырька, середины, боковин и низа. Козырек из гибкого пластика толщиной не менее 3 мм. С края козырька на 1 см в глубину проделывается строчка. Высота кепи в передней части 7,6см начиная с 53 размера, к каждому размеру прибавляется по 2мм (допустимое отклонение +/-1мм). Высота по центру 8,2см, начиная с 53 размера, к каждому размеру прибавляется по 2мм (допустимое отклонение +/-1мм). В центре кепи расположена круглая эмблема диаметром 56+/-1мм, вышитая на черной ткани. С обеих сторон сзади имеется пластиковый регулятор размера. Единые размеры будут предоставлены ответственным отделом за 1 месяц до даты поставки каждой партии. На внутренней стороне куртки, в нижней части, на ярлыке вышит размер, имя производителя и условия ухода.  
Упаковка в полиэтиленовые прозрачные большие пакеты, каждое изделие  в одном прозрачном пакете. Размеры упоковки должны соответствовать по размерам изделия. Кепи в отдельности кладутся в коробки так, чтобы недеформировались. Поставщик предоставляет документ о подлинности цвета и состава ткани, выданный производителем ткани. В обязательном порядке за счет поставщика проводится лабораторная проверка. В случае обнаружения дефектов после поставки Поставщик обязан устранить их по требованию Заказчика.
Образец рабочей формы согласовывается с Заказчиком заранее.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50 дней – 450 пар, В течение 80 дней – 600 пар, В течение  170 дней- 900 пар, В течение 260 дней-1050 пар.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50 дней – 54 к-лт, В течение 80 дней – 72 к-лт, В течение  170 дней- 108 к-лт, В течение 260 дней-128 к-лт.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50 дней – 540 штук, В течение 80 дней – 720 штук, В течение  170 дней- 1080 штук, В течение 260 дней-1260 штук.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(Куртка и брюки  пожарных, огнестойкие)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снаряжение и аксессуары/Комплект рабочей  униформы,  бирюзовый/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