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ՍԴ-ԷԱՃԾՁԲ-29/01/26/ՀԳ</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սահմանադրական դատարան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Բաղրամյան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Սահմանադրական դատարանի համար գրքի կազմման վերջնամշակման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Վահան Շահինյան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011588120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findep@concourt.am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սահմանադրական դատարան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ՍԴ-ԷԱՃԾՁԲ-29/01/26/ՀԳ</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սահմանադրական դատարան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սահմանադրական դատարան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Սահմանադրական դատարանի համար գրքի կազմման վերջնամշակման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սահմանադրական դատարան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Սահմանադրական դատարանի համար գրքի կազմման վերջնամշակման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ՍԴ-ԷԱՃԾՁԲ-29/01/26/ՀԳ</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findep@concourt.am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Սահմանադրական դատարանի համար գրքի կազմման վերջնամշակման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2026.02.10.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ՍԴ-ԷԱՃԾՁԲ-29/01/26/ՀԳ</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սահմանադրական դատարան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ՍԴ-ԷԱՃԾՁԲ-29/01/26/ՀԳ</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ՍԴ-ԷԱՃԾՁԲ-29/01/26/ՀԳ</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«ՍԴ-ԷԱՃԾՁԲ-29/01/26/ՀԳ»*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ՍԴ-ԷԱՃԾՁԲ-29/01/26/ՀԳ*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«ՍԴ-ԷԱՃԾՁԲ-29/01/26/ՀԳ»*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ՍԴ-ԷԱՃԾՁԲ-29/01/26/ՀԳ*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27․02․2026թ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