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настольных компьютеров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kristine_mayilyan@taxservice.am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настольных компьютеров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настольных компьютеров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kristine_mayilyan@taxservice.am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настольных компьютеров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ՊԵԿ-ԷԱՃԱՊՁԲ-26/05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ՊԵԿ-ԷԱՃԱՊՁԲ-26/05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компьютера: настольный (компьютерный блок) • Процессор: базовая частота не менее 2,5 ГГц, максимальная частота в режиме Turbo Boost до 4,4 ГГц, не менее 12-го поколения, количество ядер: не менее 6, количество потоков: не менее 12, кэш-память: не менее 18 МБ. Наличие кулера для процессора. • Оперативная память: не менее 16 ГБ, не менее DDR4 • SSD-накопитель емкостью не менее 512 ГБ. • Также должен поддерживать как минимум один разъем SATA для подключения накопителей. • Дискретная видеокарта с как минимум двумя выходами HDMI, поддержкой качества Full HD и 4K • Блок питания: 450–650 Вт, сертификация 80 PLUS Bronze или выше • Встроенный сетевой разъем – RJ-45 (сетевой разъем) – поддержка Gigabit Ethernet • Другие необходимые порты: как минимум 4 порта USB-A, как минимум 1 порт USB-C, как минимум 1 комбинированный разъем для наушников и микрофона • Безопасность – модуль доверенной платформы (TPM) версии не ниже 2.0 (прошивка) • Наличие операционной системы не является обязательным, рекомендуемый компьютер должен быть совместим с Windows 11 Pro • Как минимум 1 оптическая мышь USB • Как минимум 1 клавиатура USB • Гарантия не менее 365 дней • Товары должны быть неиспользованными, в упаковке. • Транспортировка и разгрузка товара осуществляется поставщиком за свой счет. • В приглашении участник должен предоставить полное описание поставляемых товаров: товарный знак, название компании, торговая марка и наименование производителя. • Компьютеры должны иметь как минимум 1-летнюю гарантию на техническое обслуживание, а обслуживание должно осуществляться в сервисном центре, расположенном в Республике Армения и аккредитованном производителем. Транспортировка товаров в течение гарантийного срока до сервисного центра и их возврат покупателю осуществляется поставщиком за свой счет (транспортировка и возврат товаров осуществляются по адресу: Хоренаци, 3,7, Ереван). • Техническим характеристикам товаров, указанным в заявке на закупку, соответствует более чем один потенциальный участник и производитель. • Право на участие в закупке и критерии отбора соответствуют действующему законодательству. • Процесс закупки организован в соответствии со статьей 15, пунктом 6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государственным доходам РА, 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30 календарных дней со дня, следующего за днем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