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ՍՄՏՀ-ԷԱՃԱՊՁԲ-2026/09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ՏԱԹԵՎԻ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Համայնք Տաթև, գ.Շինուհայր, Կենտրոնական փողոց,14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Տաթևի համայնքապետարանի կարիքների համար «ՍՄՏՀ-ԷԱՃԱՊՁԲ-2026/09» ծածկագրով էլեկտրոնային աճուրդի ձևով վառելիքի ձեռքբերման հայտարարության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Հարություն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055444252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harutyun721@gmail.com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ՏԱԹԵՎԻ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ՍՄՏՀ-ԷԱՃԱՊՁԲ-2026/09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ՏԱԹԵՎԻ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ՏԱԹԵՎԻ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Տաթևի համայնքապետարանի կարիքների համար «ՍՄՏՀ-ԷԱՃԱՊՁԲ-2026/09» ծածկագրով էլեկտրոնային աճուրդի ձևով վառելիքի ձեռքբերման հայտարարության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ՏԱԹԵՎԻ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Տաթևի համայնքապետարանի կարիքների համար «ՍՄՏՀ-ԷԱՃԱՊՁԲ-2026/09» ծածկագրով էլեկտրոնային աճուրդի ձևով վառելիքի ձեռքբերման հայտարարության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ՍՄՏՀ-ԷԱՃԱՊՁԲ-2026/09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harutyun721@gmail.com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Տաթևի համայնքապետարանի կարիքների համար «ՍՄՏՀ-ԷԱՃԱՊՁԲ-2026/09» ծածկագրով էլեկտրոնային աճուրդի ձևով վառելիքի ձեռքբերման հայտարարության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ՏԱԹԵՎԻ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ՍՄՏՀ-ԷԱՃԱՊՁԲ-2026/09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ՍՄՏՀ-ԷԱՃԱՊՁԲ-2026/09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«ՍՄՏՀ-ԷԱՃԱՊՁԲ-2026/09»*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ՏԱԹԵՎԻ ՀԱՄԱՅՆՔԱՊԵՏԱՐԱՆ*  (այսուհետ` Պատվիրատու) կողմից կազմակերպված` ՍՄՏՀ-ԷԱՃԱՊՁԲ-2026/09*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ՏԱԹԵՎԻ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- 09215091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- 900285113099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«ՍՄՏՀ-ԷԱՃԱՊՁԲ-2026/09»*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ՏԱԹԵՎԻ ՀԱՄԱՅՆՔԱՊԵՏԱՐԱՆ*  (այսուհետ` Պատվիրատու) կողմից կազմակերպված` ՍՄՏՀ-ԷԱՃԱՊՁԲ-2026/09*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ՏԱԹԵՎԻ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- 09215091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- 900285113099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ՏԱԹԵՎԻ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պետք է կատարել կտրոններով)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պետք է կատարել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Շինուհայր, մայրուղի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պայմանագիրն օրինական ուժի մեջ մտնելու օրվանից հաշված 21 օրացուցային օրվա ընթացքում, բացառությամբ այն դեպքերի, երբ մատակարարը համաձայնվում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Շինուհայր, մայրուղի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պայմանագիրն օրինական ուժի մեջ մտնելու օրվանից հաշված 21 օրացուցային օրվա ընթացքում, բացառությամբ այն դեպքերի, երբ մատակարարը համաձայնվում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