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 թվականի կարիքների համար մանկական բազմաֆունկցիոնալ խաղասարքերի ձեռքբերում և տեղադրում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 թվականի կարիքների համար մանկական բազմաֆունկցիոնալ խաղասարքերի ձեռքբերում և տեղադրում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 թվականի կարիքների համար մանկական բազմաֆունկցիոնալ խաղասարքերի ձեռքբերում և տեղադրում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 թվականի կարիքների համար մանկական բազմաֆունկցիոնալ խաղասարքերի ձեռքբերում և տեղադրում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բազմաֆունկցիոնալ խաղասարքերի ձեռքբերում և տեղադրում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բազմաֆունկցիոնալ խաղասարքերի ձեռքբերում և տեղադրում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չափսեր 7500 մմ x 7600 մմ x 5500 մմ։ Հիմնական կառուցվածքային խողովակները՝ Պողպատե խողովակ՝ Ø114 մմ, 2–2,5 մմ պատի հաստությամբ։ Խողովակների արտաքին ծածկույթը՝ հակակոռոզիոն պոլիմերային փոշեներկում։ Պլաստիկ տարրերը պետք է պատրաստված  լինեն բարձր ամրության պոլիէթիլենից (LLDPE)  ոչ տոքսիկ հումքից, հաստությունը ոչ պակաս, քան 8 մմ։ Բոլոր դետալները պետք է դիմացկուն լինեն ուլտրամանուշակագույն ճառագայթների, ջերմաստիճանի տատանումների և մեխանիկական ազդեցության նկատմամբ։ Օգտագործման  տարիքային խումբ՝ 3-12 տարեկան երեխաների համար։ Տեղադրումն իրականցվում է բետոնացման եղանակով առնվազն 300 մմ տրամագծով 500 մմ խորությամբ փոսեր մեջ։ Նախատեսված է բացօթյա (խաղահրապարակներ, դպրոցներ, մանկապարտեզներ, զբոսայգիներ) տարածքների համար։ Խաղասարքի բոլոր դետալները պետք է լինեն զուրկ ցանցակացած տեսակի դեֆորմացիաներից: Գինը ներառում է խաղասարքը ընդգրկող ամբողջական տարածքի բետոնապատումը, ռետինապատումը և եզրաքարերի տեղադրումը, որոնց բնութագրերը ներկայացվում են ստորև.
- Իրականացնել տարածքի ձեռքով հարթեցում, խճային նախաշերտի իրականացում 5սմ հաստությամբ, ամրանային ցանց՝  պողպատե, եռակցված, BP d=5,0մմ, ԵԲ նախաշերտի պատրաստում նվազագույնը B15 դասի բետոնից 50մմ հաստությամբ:
- Բետոնե եզրաքարեր՝ տեղադրումով, 1000*200*80մմ չափերով, պատրաստված նվազագույնը B15 դասի բետոնից, համապատասխան բետոնե հիմքի պատրաստումով:
- Միաձույլ ռետինե հատակի պատրաստում: Հաստությունը՝ 20 մմ, գույնը՝ համաձայնեցնել Պատվիրատուի հետ: Նյութը՝ 90% ռետինե մանրահատիկ, կապակցիչ՝ պոլիուրեթանային սոսինձ, և պիգմենտային ներկ: Պիգմենտային ներկը օգտագործվում է ամբողջ 20մմ հաստությունը նույն գույնով ներկելու համար: Խտությունը՝ 850 կգ/մ3 - 1000 կգ/մ3: Օգտագործման համար թույլատրելի ջերմաստիճանը՝  -60ºС.....+60ºС: Ցրտահարության դիմադրություն. 20 ցիկլ չի փոխվում - 20˚С: Հրդեհային անվտանգության դաս՝ V2, G2, D2, RP2, T2: Նյութի քայքայումը՝ 0,5 գ/սմ2: Առաձգական ուժ՝ 1,05-1,20 ՄՊա: Նյութի կարծրություն՝ 60-65 միավոր: Ջրակայունություն՝ ջրաթափանց, ջրակայուն, փտելու և բորբոսնելու նկատմամբ դիմացկունություն: Տեղադրումը կատարվում է տարածքի փոշեզրկման և բետոնապատ տարածքը White Spirit կամ համարժեք նյութով մշակումից հետո: Նույն պահին պիգմենտային ներկի, ռետինե մանրահատիկի և պոլիուրթենային սոսնձի պատրաստված խառնուրդը  համապատասխան տաքացվող գլանակով հարթեցվում է և խտացվում: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համայնքի վարչական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և տեղադրման կատարման ժամկետ է սահմանվում համաձայնագիրն ուժի մեջ մտնելու օրվանից 60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