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шоколада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Бутилированная вода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ՅԱԿ-ԷԱՃԱՊՁԲ-26/36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ՅԱԿ-ԷԱՃԱՊՁԲ-26/36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"«Соки фруктовые (нектарины) из свежих фруктов и ягод. Объем: 0,2 л. Минимальная объемная доля пюре: 35%. Сок: абрикосовый, персиковый, вишневый, яблочный, апельсиновый и смешанный (по согласованию с Заказчиком). 100г. сока должны содержать Углеводы: 12,7 г±5%, витамин С. 1мг±5%, энергетическая ценность: 51 ккал/214 кДж±5%. Оставшийся срок годности на момент доставки составляет не менее 2/3 от общего срока.
По стандартам ГОСТ Р 52184-2003, ГОСТ Р 52185-2003 или ГОСТ Р 52186-2003. Безопасность и маркировка по данным Правительства РА 2009г. Согласно статье 8 Закона РА «О безопасности пищевых продуктов» «Технического регламента требований к сокам и соковой продукции», утвержденного Решением №744 от 26 июня. Поставка должна осуществляться в таре емкостью 0,2 л. .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Шоколадное, молочное, фруктовое, фисташковое, ванильное или другое печенье с начинкой, 2 печенья, соединенных вместе. Ингредиенты: пшеничная мука, маргарин, сахар, соль, ваниль или эквивалент. Оставшийся срок годности на момент доставки составляет не менее 2/3 от общего срока годности. Каждый индивидуально упакован в полиэтилен с маркировкой. Энергетическая ценность в 100 г – не менее 485 ккал. Каждая упаковка должна составлять 150-190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с шоколадным и молочным вкусом. Ингредиенты: сахар, пшеничная мука, растительные масла, жареный арахис, соль, сахар, какао или эквивалент. Каждая вафля упакована в отдельную полиэтиленовую упаковку с этикеткой. Вес каждой упаковки: 180-210 грамм. Энергетическая ценность на 100 грамм: не менее 510 ккал. Остаточный срок годности на момент доставки: не менее 2/3 от общего срока годности. Предпочтительно в шоколадной глазури с орехами.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шоколада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шоколада в упаковке 90-100 грамм, мерная. Энергетическая ценность в 100 граммах не менее 540 ккал. Общий сухой остаток какао-продуктов: не менее 32,5%. Безопасность соответствует гигиеническим нормам N 2-III-4.9-01-2010, а маркировка - согласно статье 8 Закона РА "О безопасности пищевых продуктов". Остаточный срок годности на момент поставки составляет не менее 2/3 от общего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Бутилированная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в полиэтиленовой таре, прошедшей дополнительную очистку, разлитая в полимерные бутылки емкостью 0,5 л. Безопасность соответствует гигиеническим нормам 2-III-4.9-01-2010, а маркировка - согласно статье 8 Закона РА "О безопасности пищевых продуктов". постановления правительства РА N 441-Н от 18 апреля 2013 года (название изменено 13.06.13 N 639-Н).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вступления договора в силу, по запросу заказчика, до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