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4C975" w14:textId="78013315" w:rsidR="00255D9B" w:rsidRDefault="00483EA0" w:rsidP="00483EA0">
      <w:pPr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</w:p>
    <w:tbl>
      <w:tblPr>
        <w:tblStyle w:val="a3"/>
        <w:tblW w:w="13135" w:type="dxa"/>
        <w:jc w:val="center"/>
        <w:tblLayout w:type="fixed"/>
        <w:tblLook w:val="04A0" w:firstRow="1" w:lastRow="0" w:firstColumn="1" w:lastColumn="0" w:noHBand="0" w:noVBand="1"/>
      </w:tblPr>
      <w:tblGrid>
        <w:gridCol w:w="559"/>
        <w:gridCol w:w="1056"/>
        <w:gridCol w:w="1710"/>
        <w:gridCol w:w="4499"/>
        <w:gridCol w:w="811"/>
        <w:gridCol w:w="900"/>
        <w:gridCol w:w="990"/>
        <w:gridCol w:w="900"/>
        <w:gridCol w:w="900"/>
        <w:gridCol w:w="810"/>
      </w:tblGrid>
      <w:tr w:rsidR="00483EA0" w:rsidRPr="000A136D" w14:paraId="512D4AF5" w14:textId="77777777" w:rsidTr="00AE2A0E">
        <w:trPr>
          <w:trHeight w:val="365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3EF2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0A136D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  <w:p w14:paraId="1415C5FD" w14:textId="6E68F3D9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af-ZA"/>
              </w:rPr>
              <w:t>Н/Л</w:t>
            </w:r>
          </w:p>
        </w:tc>
        <w:tc>
          <w:tcPr>
            <w:tcW w:w="12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26AC" w14:textId="23638998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  <w:r w:rsidR="00FD36EC" w:rsidRPr="000A136D">
              <w:rPr>
                <w:rFonts w:ascii="GHEA Grapalat" w:hAnsi="GHEA Grapalat"/>
                <w:sz w:val="16"/>
                <w:szCs w:val="16"/>
                <w:lang w:val="hy-AM"/>
              </w:rPr>
              <w:t>/товар</w:t>
            </w:r>
          </w:p>
        </w:tc>
      </w:tr>
      <w:tr w:rsidR="00724C91" w:rsidRPr="000A136D" w14:paraId="3E6BF672" w14:textId="77777777" w:rsidTr="00AE2A0E">
        <w:trPr>
          <w:trHeight w:val="345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74DE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36A6" w14:textId="4C7A088A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C009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  <w:p w14:paraId="27F65B84" w14:textId="79A1FB92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Наименование</w:t>
            </w:r>
          </w:p>
        </w:tc>
        <w:tc>
          <w:tcPr>
            <w:tcW w:w="4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AF4B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14:paraId="03218726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(տեխնիկական բնութագիր)</w:t>
            </w:r>
          </w:p>
          <w:p w14:paraId="744EB000" w14:textId="0BA192FA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Техническая характеристика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9DEB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  <w:p w14:paraId="09C2F573" w14:textId="40BD242A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E381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նդհանուր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  <w:p w14:paraId="174F0396" w14:textId="2A4C722D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5DEB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Միավորի  գինը</w:t>
            </w:r>
          </w:p>
          <w:p w14:paraId="5D324680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(ՀՀ դրամ)</w:t>
            </w:r>
          </w:p>
          <w:p w14:paraId="12A4E4B4" w14:textId="0FCE6A05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Цена единицы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892F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</w:p>
          <w:p w14:paraId="6B71E9C0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0A136D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14:paraId="5929A7F7" w14:textId="50A5A83C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DB8B" w14:textId="18F220F1" w:rsidR="00FD36EC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  <w:p w14:paraId="2E1D8B0B" w14:textId="107CE939" w:rsidR="00483EA0" w:rsidRPr="000A136D" w:rsidRDefault="00FD36EC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Поставка</w:t>
            </w:r>
          </w:p>
        </w:tc>
      </w:tr>
      <w:tr w:rsidR="00BA0A67" w:rsidRPr="000A136D" w14:paraId="2DBC1C90" w14:textId="77777777" w:rsidTr="00AE2A0E">
        <w:trPr>
          <w:trHeight w:val="653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37E6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4D25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4F13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3C14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C399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B9FF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3751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E370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6091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  <w:p w14:paraId="5849FE54" w14:textId="44DA1F96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B8CCD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29AEB0A9" w14:textId="08E419A0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Сроки</w:t>
            </w:r>
          </w:p>
        </w:tc>
      </w:tr>
      <w:tr w:rsidR="00BA0A67" w:rsidRPr="000A136D" w14:paraId="6F2E515F" w14:textId="77777777" w:rsidTr="00AE2A0E">
        <w:trPr>
          <w:trHeight w:val="34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79A2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13F8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09211400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DBF2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Փոխհաղորդիչ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հեղուկ</w:t>
            </w:r>
            <w:proofErr w:type="spellEnd"/>
          </w:p>
          <w:p w14:paraId="5083BE5C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Трансмиссионная жидкость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ABB8B" w14:textId="77777777" w:rsidR="00483EA0" w:rsidRPr="000A136D" w:rsidRDefault="00483EA0" w:rsidP="00483EA0">
            <w:pPr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АТF–Q</w:t>
            </w:r>
            <w:proofErr w:type="gramStart"/>
            <w:r w:rsidRPr="000A136D">
              <w:rPr>
                <w:rFonts w:ascii="GHEA Grapalat" w:hAnsi="GHEA Grapalat"/>
                <w:sz w:val="16"/>
                <w:szCs w:val="16"/>
              </w:rPr>
              <w:t>3  DEXRON</w:t>
            </w:r>
            <w:proofErr w:type="gram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 III,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կինեմատիկական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մածուցիկությունը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` 100°С-ում - 7,54մմ/վ,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մածուցիկության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ինդեքսը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՝ 185,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պնդեցման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` (-45°С),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բռնկման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` 217°С,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>` 15°C-ում՝ 0,86 գ/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,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հիմնական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յուղի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սինթետիկ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, ՏՈՒ 0253-136-65611335-2016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համարժեքը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2769A175" w14:textId="77777777" w:rsidR="00483EA0" w:rsidRPr="000A136D" w:rsidRDefault="00483EA0" w:rsidP="00483EA0">
            <w:pPr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A136D">
              <w:rPr>
                <w:rFonts w:ascii="GHEA Grapalat" w:hAnsi="GHEA Grapalat"/>
                <w:sz w:val="16"/>
                <w:szCs w:val="16"/>
              </w:rPr>
              <w:t>Трансмиссионная  жидкость</w:t>
            </w:r>
            <w:proofErr w:type="gram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АТF–Q3  DEXRON  III,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инематическая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вязкость при 100°С -  7,54 мм/с, индекс вязкости - 185, температура  застывания - (-45°С), температура  вспышки - 217°С, плотность при 15°C - 0,86 г/см, тип базового масла - синтетическое, ТУ 0253-136-65611335-2016 или аналог.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D6CE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5363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B970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135" w14:textId="77777777" w:rsidR="00483EA0" w:rsidRPr="000A136D" w:rsidRDefault="00483EA0" w:rsidP="00483E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36D">
              <w:rPr>
                <w:rFonts w:ascii="GHEA Grapalat" w:hAnsi="GHEA Grapalat" w:cs="Calibri"/>
                <w:sz w:val="16"/>
                <w:szCs w:val="16"/>
              </w:rPr>
              <w:t>48000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2053CF" w14:textId="77777777" w:rsidR="00483EA0" w:rsidRPr="000A136D" w:rsidRDefault="00483EA0" w:rsidP="00483EA0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14:paraId="3E1A3C78" w14:textId="733BE6F1" w:rsidR="00483EA0" w:rsidRPr="000A136D" w:rsidRDefault="00483EA0" w:rsidP="00483EA0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Армавирский регион, г.Мецамор ЗАО «ААЭК»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5BF5A0" w14:textId="48A1A79B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60 (վաթսուն) օրացուցային օրվա ընթացքում</w:t>
            </w:r>
          </w:p>
          <w:p w14:paraId="0F8EAA77" w14:textId="63EAE539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sz w:val="16"/>
                <w:szCs w:val="16"/>
              </w:rPr>
              <w:t xml:space="preserve">В течение </w:t>
            </w:r>
            <w:r w:rsidRPr="000A136D">
              <w:rPr>
                <w:rStyle w:val="a4"/>
                <w:sz w:val="16"/>
                <w:szCs w:val="16"/>
              </w:rPr>
              <w:t>60 календарных дней</w:t>
            </w:r>
            <w:r w:rsidRPr="000A136D">
              <w:rPr>
                <w:sz w:val="16"/>
                <w:szCs w:val="16"/>
              </w:rPr>
              <w:t xml:space="preserve"> после заключения договора.</w:t>
            </w:r>
          </w:p>
        </w:tc>
      </w:tr>
      <w:tr w:rsidR="00BA0A67" w:rsidRPr="000A136D" w14:paraId="3672707D" w14:textId="77777777" w:rsidTr="00AE2A0E">
        <w:trPr>
          <w:trHeight w:val="84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A7EA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A654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09211100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DB0D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Յուղ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սինթեթիկ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 5</w:t>
            </w:r>
            <w:proofErr w:type="gramEnd"/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W</w:t>
            </w:r>
            <w:r w:rsidRPr="000A136D">
              <w:rPr>
                <w:rFonts w:ascii="GHEA Grapalat" w:hAnsi="GHEA Grapalat"/>
                <w:sz w:val="16"/>
                <w:szCs w:val="16"/>
              </w:rPr>
              <w:t xml:space="preserve">40  </w:t>
            </w:r>
          </w:p>
          <w:p w14:paraId="6A7F6959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Масло синтетическое 5</w:t>
            </w: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W</w:t>
            </w:r>
            <w:r w:rsidRPr="000A13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5D30" w14:textId="77777777" w:rsidR="00483EA0" w:rsidRPr="000A136D" w:rsidRDefault="00483EA0" w:rsidP="00483EA0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Մածուցիկություն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A136D">
              <w:rPr>
                <w:rFonts w:ascii="GHEA Grapalat" w:hAnsi="GHEA Grapalat" w:cs="Sylfaen"/>
                <w:sz w:val="16"/>
                <w:szCs w:val="16"/>
                <w:lang w:val="en-US"/>
              </w:rPr>
              <w:t>SAE</w:t>
            </w:r>
            <w:r w:rsidRPr="000A136D">
              <w:rPr>
                <w:rFonts w:ascii="GHEA Grapalat" w:hAnsi="GHEA Grapalat" w:cs="Sylfaen"/>
                <w:sz w:val="16"/>
                <w:szCs w:val="16"/>
              </w:rPr>
              <w:t>` 5</w:t>
            </w:r>
            <w:r w:rsidRPr="000A136D">
              <w:rPr>
                <w:rFonts w:ascii="GHEA Grapalat" w:hAnsi="GHEA Grapalat" w:cs="Sylfaen"/>
                <w:sz w:val="16"/>
                <w:szCs w:val="16"/>
                <w:lang w:val="en-US"/>
              </w:rPr>
              <w:t>W</w:t>
            </w:r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-40,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կինեմատիկական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մածուցիկությունը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100°</w:t>
            </w:r>
            <w:proofErr w:type="gramStart"/>
            <w:r w:rsidRPr="000A136D">
              <w:rPr>
                <w:rFonts w:ascii="GHEA Grapalat" w:hAnsi="GHEA Grapalat" w:cs="Sylfaen"/>
                <w:sz w:val="16"/>
                <w:szCs w:val="16"/>
              </w:rPr>
              <w:t>С  12</w:t>
            </w:r>
            <w:proofErr w:type="gramEnd"/>
            <w:r w:rsidRPr="000A136D">
              <w:rPr>
                <w:rFonts w:ascii="GHEA Grapalat" w:hAnsi="GHEA Grapalat" w:cs="Sylfaen"/>
                <w:sz w:val="16"/>
                <w:szCs w:val="16"/>
              </w:rPr>
              <w:t>.8÷14.6 մմ²/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վրկ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մածուցիկության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ինդեքսը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` 169÷175,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սառեցման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ջերմաստիճան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` -42 ÷ -45°С,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բռնկման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կետ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` 223÷232°С,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5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լիտր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տարողությամբ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տարաներով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  <w:p w14:paraId="5D78DCD1" w14:textId="77777777" w:rsidR="00483EA0" w:rsidRPr="000A136D" w:rsidRDefault="00483EA0" w:rsidP="00483EA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A136D">
              <w:rPr>
                <w:rFonts w:ascii="GHEA Grapalat" w:hAnsi="GHEA Grapalat" w:cs="Sylfaen"/>
                <w:sz w:val="16"/>
                <w:szCs w:val="16"/>
              </w:rPr>
              <w:t>ВЯЗКОСТЬ SAE: 5W-40, кинематическая вязкость при 100°С 12.8÷14.6мм²/с, индекс вязкости 169÷175, температура застывания</w:t>
            </w:r>
            <w:proofErr w:type="gramStart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  (</w:t>
            </w:r>
            <w:proofErr w:type="gram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-42) ÷ (-45)°С, температура вспышки 223÷232°С. TOYOTA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original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>, LIQUI MOLY, BARDAHL, в тарах до 5 литров.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2ABA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CB28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901A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3600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2131" w14:textId="77777777" w:rsidR="00483EA0" w:rsidRPr="000A136D" w:rsidRDefault="00483EA0" w:rsidP="00483E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36D">
              <w:rPr>
                <w:rFonts w:ascii="GHEA Grapalat" w:hAnsi="GHEA Grapalat" w:cs="Calibri"/>
                <w:sz w:val="16"/>
                <w:szCs w:val="16"/>
              </w:rPr>
              <w:t>360000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03649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D4F4E10" w14:textId="77777777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</w:tr>
      <w:tr w:rsidR="00BA0A67" w:rsidRPr="000A136D" w14:paraId="25B55D62" w14:textId="77777777" w:rsidTr="00AE2A0E">
        <w:trPr>
          <w:trHeight w:val="70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397C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42E39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09211100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E3B4A" w14:textId="77777777" w:rsidR="00483EA0" w:rsidRPr="000A136D" w:rsidRDefault="00483EA0" w:rsidP="00483EA0">
            <w:pPr>
              <w:ind w:left="-57" w:right="-57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Յուղ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ինժեկտորային</w:t>
            </w:r>
            <w:proofErr w:type="spellEnd"/>
          </w:p>
          <w:p w14:paraId="06D56605" w14:textId="77777777" w:rsidR="00483EA0" w:rsidRPr="000A136D" w:rsidRDefault="00483EA0" w:rsidP="00483EA0">
            <w:pPr>
              <w:ind w:left="-57" w:right="-57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0A136D">
              <w:rPr>
                <w:rFonts w:ascii="GHEA Grapalat" w:hAnsi="GHEA Grapalat" w:cs="GHEA Grapalat"/>
                <w:sz w:val="16"/>
                <w:szCs w:val="16"/>
              </w:rPr>
              <w:t>Масло инжекторное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87F94" w14:textId="77777777" w:rsidR="005B3134" w:rsidRDefault="00483EA0" w:rsidP="00483EA0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5W30,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տեխնիկական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չափանիշները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պետք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է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համապատասխանեն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SAE-10W40 API CG-4/SJ </w:t>
            </w:r>
          </w:p>
          <w:p w14:paraId="43B78304" w14:textId="60FDB2FD" w:rsidR="00483EA0" w:rsidRPr="000A136D" w:rsidRDefault="00483EA0" w:rsidP="00483EA0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ТУ У 23.2-00152307-001-2006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կամ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համարժեքը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>:</w:t>
            </w:r>
          </w:p>
          <w:p w14:paraId="722A08F1" w14:textId="77777777" w:rsidR="00483EA0" w:rsidRPr="000A136D" w:rsidRDefault="00483EA0" w:rsidP="00483EA0">
            <w:pPr>
              <w:rPr>
                <w:rFonts w:ascii="GHEA Grapalat" w:hAnsi="GHEA Grapalat" w:cs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Կինեմատիկական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մածուցիկություն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, 100°C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ջերմաստիճանում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14,79մմ/վ,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դինամիկ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մածուցիկություն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CCS –25°C 6150mPa•s,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մածուցիկության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ինդեքսը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156,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բռնկման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կետը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բաց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խառնարանում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,  218°C,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թափվելու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կետ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, -43°C 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խտությունը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15°C-ում  0,8782գ/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սմ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,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սուլֆատի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մոխրի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պարունակությունը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wt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% 1,08,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ընդհանուր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բազային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թիվը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8,56մգ KOH/g , NOAC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անկայունություն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, 9,0%), TOYOTA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original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, LIQUI MOLY, BARDAHL,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մինչև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5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լիտր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տարողությամբ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տարաներով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>:</w:t>
            </w:r>
          </w:p>
          <w:p w14:paraId="51A5F33F" w14:textId="77777777" w:rsidR="00483EA0" w:rsidRPr="000A136D" w:rsidRDefault="00483EA0" w:rsidP="00483EA0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5W30. Технические стандарты должны быть соблюдены SAE-10W40 API CG-4/SJ ТУ У 23.2-00152307-001-2006 или </w:t>
            </w:r>
            <w:r w:rsidRPr="000A136D">
              <w:rPr>
                <w:rFonts w:ascii="GHEA Grapalat" w:hAnsi="GHEA Grapalat" w:cs="GHEA Grapalat"/>
                <w:sz w:val="16"/>
                <w:szCs w:val="16"/>
              </w:rPr>
              <w:lastRenderedPageBreak/>
              <w:t xml:space="preserve">аналог. Кинематическая вязкость, при температуре 100°С  14,79мм/с,  Вязкость динамическая CCS при  –25 °С  6150мПа•с  ,  Индекс вязкости 156, Температура вспышки в открытом тигле 218°С, Температура застывания, -43°С,  Плотность при 15°С 0,8782 г/см,  Зольность сульфатная, % масс  1,08,  Общее щелочное число, мг КОН/г 8,56,  Испаряемость по НОАК, 9,0%), TOYOTA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original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>, LIQUI MOLY, BARDAHL, в тарах до 5 литров.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18EBA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lastRenderedPageBreak/>
              <w:t>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D636B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BBE49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3600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FDC1F" w14:textId="77777777" w:rsidR="00483EA0" w:rsidRPr="000A136D" w:rsidRDefault="00483EA0" w:rsidP="00483E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36D">
              <w:rPr>
                <w:rFonts w:ascii="GHEA Grapalat" w:hAnsi="GHEA Grapalat" w:cs="Calibri"/>
                <w:sz w:val="16"/>
                <w:szCs w:val="16"/>
              </w:rPr>
              <w:t>360000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C76C9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F601F2" w14:textId="77777777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</w:tr>
    </w:tbl>
    <w:p w14:paraId="7052E8E2" w14:textId="77777777" w:rsidR="00880D5C" w:rsidRPr="00676298" w:rsidRDefault="00880D5C" w:rsidP="00880D5C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67629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Լրացուցիչ</w:t>
      </w:r>
      <w:proofErr w:type="spellEnd"/>
      <w:r w:rsidRPr="00676298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67629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պայմաններ</w:t>
      </w:r>
      <w:proofErr w:type="spellEnd"/>
      <w:r w:rsidRPr="0067629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</w:p>
    <w:p w14:paraId="37BD0782" w14:textId="77777777" w:rsidR="00880D5C" w:rsidRPr="00676298" w:rsidRDefault="00880D5C" w:rsidP="00880D5C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4DC5350E" w14:textId="563698E7" w:rsidR="00880D5C" w:rsidRPr="00563ACC" w:rsidRDefault="00880D5C" w:rsidP="00563AC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</w:rPr>
      </w:pP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Ապրանքները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պետք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r w:rsidRPr="00676298">
        <w:rPr>
          <w:rFonts w:ascii="GHEA Grapalat" w:hAnsi="GHEA Grapalat" w:cs="Arial"/>
          <w:iCs/>
          <w:sz w:val="20"/>
          <w:szCs w:val="20"/>
          <w:lang w:val="en-US"/>
        </w:rPr>
        <w:t>է</w:t>
      </w:r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լինեն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համապատասխան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տարաներով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,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հերմետիկ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փակված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,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փաթեթավորումը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`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գործարանային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(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փաստաթղթերը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լինեն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թարգմանված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հայերեն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կամ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ռուսերեն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լեզվով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>):</w:t>
      </w:r>
    </w:p>
    <w:p w14:paraId="58B031B8" w14:textId="1D9C0677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676298">
        <w:rPr>
          <w:rFonts w:ascii="GHEA Grapalat" w:hAnsi="GHEA Grapalat" w:cs="Arial"/>
          <w:iCs/>
          <w:sz w:val="20"/>
          <w:szCs w:val="20"/>
        </w:rPr>
        <w:t>Ա</w:t>
      </w:r>
      <w:r w:rsidRPr="00676298">
        <w:rPr>
          <w:rFonts w:ascii="GHEA Grapalat" w:hAnsi="GHEA Grapalat" w:cs="Sylfaen"/>
          <w:bCs/>
          <w:sz w:val="20"/>
          <w:szCs w:val="20"/>
          <w:lang w:val="pt-BR"/>
        </w:rPr>
        <w:t>պրանքները պետք է անցնեն լաբորատոր փորձաքննություն &lt;&lt;ՀԱԷԿ&gt;&gt; ՓԲԸ-ի լաբորատորիայում, անհամապատասխանությունների դեպքում մատակարարի հաշվին իր միջոցներով պետք է անցկացվի լաբորատոր փորձաքննություն անկախ լաբորատորի կողմից:</w:t>
      </w:r>
    </w:p>
    <w:p w14:paraId="40A0A662" w14:textId="47F58871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</w:rPr>
      </w:pPr>
      <w:r w:rsidRPr="00676298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676298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14:paraId="3CBDE54D" w14:textId="4C99A588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676298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4D967BBF" w14:textId="60E203D4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="00E310EF">
        <w:rPr>
          <w:rFonts w:ascii="GHEA Grapalat" w:hAnsi="GHEA Grapalat" w:cs="Sylfaen"/>
          <w:bCs/>
          <w:sz w:val="20"/>
          <w:szCs w:val="20"/>
        </w:rPr>
        <w:t>խ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  <w:r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6A206A18" w14:textId="562FFBD5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</w:rPr>
        <w:t>յ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3B54E5BF" w14:textId="537D3BFA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>
        <w:rPr>
          <w:rFonts w:ascii="GHEA Grapalat" w:hAnsi="GHEA Grapalat" w:cs="Sylfaen"/>
          <w:bCs/>
          <w:sz w:val="20"/>
          <w:szCs w:val="20"/>
        </w:rPr>
        <w:t>ե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00 մինչև 15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42FEB0F8" w14:textId="77777777" w:rsidR="00880D5C" w:rsidRPr="00107011" w:rsidRDefault="00880D5C" w:rsidP="00880D5C">
      <w:pPr>
        <w:pStyle w:val="a5"/>
        <w:numPr>
          <w:ilvl w:val="0"/>
          <w:numId w:val="1"/>
        </w:numPr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107011">
        <w:rPr>
          <w:rFonts w:ascii="GHEA Grapalat" w:hAnsi="GHEA Grapalat" w:cs="Sylfaen"/>
          <w:bCs/>
          <w:sz w:val="20"/>
          <w:szCs w:val="20"/>
        </w:rPr>
        <w:t>Վ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107011">
        <w:rPr>
          <w:rFonts w:ascii="GHEA Grapalat" w:hAnsi="GHEA Grapalat" w:cs="Sylfaen"/>
          <w:bCs/>
          <w:sz w:val="20"/>
          <w:szCs w:val="20"/>
        </w:rPr>
        <w:t>e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>
        <w:fldChar w:fldCharType="begin"/>
      </w:r>
      <w:r>
        <w:instrText xml:space="preserve"> HYPERLINK "mailto:volodya.manukyan@anpp.am" </w:instrText>
      </w:r>
      <w:r>
        <w:fldChar w:fldCharType="separate"/>
      </w:r>
      <w:r w:rsidRPr="00107011">
        <w:rPr>
          <w:rStyle w:val="a7"/>
          <w:rFonts w:ascii="GHEA Grapalat" w:hAnsi="GHEA Grapalat"/>
          <w:sz w:val="20"/>
          <w:szCs w:val="20"/>
          <w:lang w:val="pt-BR"/>
        </w:rPr>
        <w:t>volodya.manukyan@anpp.am</w:t>
      </w:r>
      <w:r>
        <w:rPr>
          <w:rStyle w:val="a7"/>
          <w:rFonts w:ascii="GHEA Grapalat" w:hAnsi="GHEA Grapalat"/>
          <w:color w:val="auto"/>
          <w:sz w:val="20"/>
          <w:szCs w:val="20"/>
          <w:lang w:val="pt-BR"/>
        </w:rPr>
        <w:fldChar w:fldCharType="end"/>
      </w:r>
      <w:r w:rsidRPr="00107011">
        <w:rPr>
          <w:rFonts w:ascii="GHEA Grapalat" w:hAnsi="GHEA Grapalat"/>
          <w:sz w:val="20"/>
          <w:szCs w:val="20"/>
        </w:rPr>
        <w:t>:</w:t>
      </w:r>
    </w:p>
    <w:p w14:paraId="3FD7F91A" w14:textId="77777777" w:rsidR="00880D5C" w:rsidRPr="00880D5C" w:rsidRDefault="00880D5C" w:rsidP="00880D5C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1675F462" w14:textId="77777777" w:rsidR="009A07BB" w:rsidRPr="009A07BB" w:rsidRDefault="009A07BB" w:rsidP="009A07BB">
      <w:pPr>
        <w:pStyle w:val="a8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proofErr w:type="spellStart"/>
      <w:r w:rsidRPr="009A07BB">
        <w:rPr>
          <w:rFonts w:ascii="GHEA Grapalat" w:eastAsiaTheme="minorEastAsia" w:hAnsi="GHEA Grapalat" w:cs="Sylfaen"/>
          <w:b/>
          <w:sz w:val="20"/>
          <w:szCs w:val="20"/>
          <w:lang w:val="pt-BR" w:eastAsia="hy-AM"/>
        </w:rPr>
        <w:t>Дополнительные</w:t>
      </w:r>
      <w:proofErr w:type="spellEnd"/>
      <w:r w:rsidRPr="009A07BB">
        <w:rPr>
          <w:rFonts w:ascii="GHEA Grapalat" w:eastAsiaTheme="minorEastAsia" w:hAnsi="GHEA Grapalat" w:cs="Sylfaen"/>
          <w:b/>
          <w:sz w:val="20"/>
          <w:szCs w:val="20"/>
          <w:lang w:val="pt-BR" w:eastAsia="hy-AM"/>
        </w:rPr>
        <w:t xml:space="preserve"> </w:t>
      </w:r>
      <w:proofErr w:type="spellStart"/>
      <w:r w:rsidRPr="009A07BB">
        <w:rPr>
          <w:rFonts w:ascii="GHEA Grapalat" w:eastAsiaTheme="minorEastAsia" w:hAnsi="GHEA Grapalat" w:cs="Sylfaen"/>
          <w:b/>
          <w:sz w:val="20"/>
          <w:szCs w:val="20"/>
          <w:lang w:val="pt-BR" w:eastAsia="hy-AM"/>
        </w:rPr>
        <w:t>условия</w:t>
      </w:r>
      <w:proofErr w:type="spellEnd"/>
      <w:r w:rsidRPr="009A07BB">
        <w:rPr>
          <w:rFonts w:ascii="GHEA Grapalat" w:eastAsiaTheme="minorEastAsia" w:hAnsi="GHEA Grapalat" w:cs="Sylfaen"/>
          <w:b/>
          <w:sz w:val="20"/>
          <w:szCs w:val="20"/>
          <w:lang w:val="pt-BR" w:eastAsia="hy-AM"/>
        </w:rPr>
        <w:t>:</w:t>
      </w:r>
    </w:p>
    <w:p w14:paraId="462D116B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Товары должны быть в соответствующей таре, герметично закрытые, упаковка – заводская (документы должны быть переведены на армянский или русский язык).</w:t>
      </w:r>
    </w:p>
    <w:p w14:paraId="4A020A17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Товары должны пройти лабораторную экспертизу в лаборатории ЗАО «ААЭС», при выявлении несоответствий лабораторная экспертиза независимой лабораторией проводится за счёт поставщика.</w:t>
      </w:r>
    </w:p>
    <w:p w14:paraId="4B49F47D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Информация о товарном знаке, фирменном наименовании, марке и производителе – не требуется.</w:t>
      </w:r>
    </w:p>
    <w:p w14:paraId="6F353AF8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Срок предоставления участником подписанного акта приёма-передачи – 30 рабочих дней.</w:t>
      </w:r>
    </w:p>
    <w:p w14:paraId="68243AF2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Допустимый срок нарушения – 10 календарных дней.</w:t>
      </w:r>
    </w:p>
    <w:p w14:paraId="50F643AF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Исполнитель обязан соблюдать все требования внутриобъектового и пропускного режима, действующие в ААЭС.</w:t>
      </w:r>
    </w:p>
    <w:p w14:paraId="128F6E63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Поставщик обязан не менее чем за один рабочий день до поставки уведомить управляющего договором о поставке; поставка может осуществляться в рабочий день с 09:00 до 15:30.</w:t>
      </w:r>
    </w:p>
    <w:p w14:paraId="238A8F54" w14:textId="10098FAA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 xml:space="preserve">Представитель ответственного подразделения: В. </w:t>
      </w:r>
      <w:proofErr w:type="spellStart"/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Манукян</w:t>
      </w:r>
      <w:proofErr w:type="spellEnd"/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 xml:space="preserve">, тел. 010-28-29-60, e-mail: </w:t>
      </w:r>
      <w:hyperlink r:id="rId5" w:history="1">
        <w:r w:rsidRPr="001C57D3">
          <w:rPr>
            <w:rStyle w:val="a7"/>
            <w:rFonts w:ascii="GHEA Grapalat" w:eastAsiaTheme="minorEastAsia" w:hAnsi="GHEA Grapalat" w:cs="Sylfaen"/>
            <w:bCs/>
            <w:sz w:val="20"/>
            <w:szCs w:val="20"/>
            <w:lang w:val="pt-BR" w:eastAsia="hy-AM"/>
          </w:rPr>
          <w:t>volodya.manukyan@anpp.am</w:t>
        </w:r>
      </w:hyperlink>
      <w:r>
        <w:rPr>
          <w:rFonts w:ascii="GHEA Grapalat" w:eastAsiaTheme="minorEastAsia" w:hAnsi="GHEA Grapalat" w:cs="Sylfaen"/>
          <w:bCs/>
          <w:sz w:val="20"/>
          <w:szCs w:val="20"/>
          <w:lang w:val="hy-AM" w:eastAsia="hy-AM"/>
        </w:rPr>
        <w:t xml:space="preserve"> </w:t>
      </w: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.</w:t>
      </w:r>
    </w:p>
    <w:p w14:paraId="6111A749" w14:textId="77777777" w:rsidR="00483EA0" w:rsidRPr="009A07BB" w:rsidRDefault="00483EA0" w:rsidP="00483EA0">
      <w:pPr>
        <w:jc w:val="center"/>
        <w:rPr>
          <w:lang w:val="ru-RU"/>
        </w:rPr>
      </w:pPr>
    </w:p>
    <w:sectPr w:rsidR="00483EA0" w:rsidRPr="009A07BB" w:rsidSect="00483EA0"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3712C"/>
    <w:multiLevelType w:val="multilevel"/>
    <w:tmpl w:val="F9F25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3915FD"/>
    <w:multiLevelType w:val="hybridMultilevel"/>
    <w:tmpl w:val="74A67394"/>
    <w:lvl w:ilvl="0" w:tplc="E5B84F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B30"/>
    <w:rsid w:val="000A136D"/>
    <w:rsid w:val="00255D9B"/>
    <w:rsid w:val="00483EA0"/>
    <w:rsid w:val="00563ACC"/>
    <w:rsid w:val="005B3134"/>
    <w:rsid w:val="006C0A68"/>
    <w:rsid w:val="00724C91"/>
    <w:rsid w:val="00880D5C"/>
    <w:rsid w:val="00945E8C"/>
    <w:rsid w:val="009A07BB"/>
    <w:rsid w:val="00AE2A0E"/>
    <w:rsid w:val="00BA0A67"/>
    <w:rsid w:val="00DF420A"/>
    <w:rsid w:val="00E06B30"/>
    <w:rsid w:val="00E310EF"/>
    <w:rsid w:val="00E67009"/>
    <w:rsid w:val="00FD36EC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FBCF8"/>
  <w15:chartTrackingRefBased/>
  <w15:docId w15:val="{29235141-E861-4F0E-B400-16BAA90E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EA0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483EA0"/>
    <w:rPr>
      <w:b/>
      <w:bCs/>
    </w:rPr>
  </w:style>
  <w:style w:type="paragraph" w:styleId="a5">
    <w:name w:val="List Paragraph"/>
    <w:basedOn w:val="a"/>
    <w:link w:val="a6"/>
    <w:uiPriority w:val="34"/>
    <w:qFormat/>
    <w:rsid w:val="00880D5C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6">
    <w:name w:val="Абзац списка Знак"/>
    <w:link w:val="a5"/>
    <w:uiPriority w:val="34"/>
    <w:locked/>
    <w:rsid w:val="00880D5C"/>
    <w:rPr>
      <w:rFonts w:eastAsiaTheme="minorEastAsia"/>
      <w:lang w:val="hy-AM" w:eastAsia="hy-AM"/>
    </w:rPr>
  </w:style>
  <w:style w:type="character" w:styleId="a7">
    <w:name w:val="Hyperlink"/>
    <w:basedOn w:val="a0"/>
    <w:uiPriority w:val="99"/>
    <w:unhideWhenUsed/>
    <w:rsid w:val="00880D5C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A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Unresolved Mention"/>
    <w:basedOn w:val="a0"/>
    <w:uiPriority w:val="99"/>
    <w:semiHidden/>
    <w:unhideWhenUsed/>
    <w:rsid w:val="009A0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lodya.manuk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15</cp:revision>
  <cp:lastPrinted>2026-02-02T11:48:00Z</cp:lastPrinted>
  <dcterms:created xsi:type="dcterms:W3CDTF">2026-02-02T11:42:00Z</dcterms:created>
  <dcterms:modified xsi:type="dcterms:W3CDTF">2026-02-04T07:29:00Z</dcterms:modified>
</cp:coreProperties>
</file>