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ընդհանուր կարիքների համար ցուցատախտակների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ընդհանուր կարիքների համար ցուցատախտակների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ընդհանուր կարիքների համար ցուցատախտակների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ընդհանուր կարիքների համար ցուցատախտակների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Ցուցատախտակների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ցուցատախտակներ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ստորաբաժանում՝ԵՊՀ Մարքեթինգի բաժին: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Ցուցատախտակների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Ցուցատախտակի նյութը՝ 2.5 մմ թափանցիկ, անփայլ, օրգանական ապակի: Չափսը՝ 15 սմ բարձրություն, 45 սմ երկարություն, տպագրության տեսակը՝ 1440 dpi խտությամբ UV տպագրություն, բարձրորակ:
Ցուցատախտակների չափսերը կարող են փոփոխվել՝ ըստ ԵՊՀ մարքեթինգի բաժնի ներկայացրած պահանջի։ Տպագրվող տեքստի տառատեսակը պետք է համապատասխանի ԵՊՀ-ում կողմից կիրառվող տառատեսակին (GHEA Grapalat): Ցուցատախտակների դիզայնը իրականացվում է մատակարարի կողմից՝ իր միջոցներով, պատվիրատուի պահանջով։ Տպագրությունն իրականացվում է բացառապես ԵՊՀ մարքեթինգի բաժնի գրավոր հաստատումից հետո։ Առանց հաստատման և որակական նշված չափանիշներին անհամապատասխան տպագրված ցուցատախտակները ԵՊՀ-ի կողմից չեն ընդունվելու։
Ցուցատախտակների վրա կարող են տպագրվել ինչպես սև, այնպես էլ գունավոր տեքստ և պատկերներ՝ համաձայն ԵՊՀ մարքեթինգի բաժնի կողմից ներկայացված պահանջների։ Յուրաքանչյուր ցուցատախտակ պետք է ունենա առնվազն 2 մետաղական ամրակ։ Ամրակների քանակը տպագրվող չափերին համապատասխան կարող են փոփոխվել: Ցուցատախտակների տեղադրումը, ինչպես նաև որոշ հատվածներում գործող (հին) ցուցատախտակների ապամոնտաժումն ու դրանց փոխարինումը նորերով, իրականացվում է մատակարարի միջոցներով: 
Մատակարարման վայրը և ժամկետները՝ ըստ պատվիրատուի պահանջի: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անց, բայց ոչ ուշ, քան 2026 թվականի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Ցուցատախտակների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