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EBGK-EAAPDZB-26/19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принадлежности для сосудистой хирургии и хирургические медицинские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EBGK-EAAPDZB-26/19</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принадлежности для сосудистой хирургии и хирургические медицинские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принадлежности для сосудистой хирургии и хирургические медицинские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EBGK-EAAPDZB-26/19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принадлежности для сосудистой хирургии и хирургические медицинские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պրոթեզ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Բիֆուռկացիոն պրոթեզ 18/9/9  20/10/10  22/11/11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էմբոլէկտոմիայի և թրոմբէկտոմիայի համար,  Fogarty տիպի,  երկճյուղ, ուղղորդչի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զստային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կաթետր պերֆերիկ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Կոբալտ քրոմիումային ստենտ ծայրային 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Ինքնաընդլայնվող  նիտինոլ ստենտներ առաքման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ներարկման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ճողվացքային ցանցերի ամրացման հավաքածու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375.41</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440.47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EBGK-EAAPDZB-26/19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պրոթեզ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Բիֆուռկացիոն պրոթեզ 18/9/9  20/10/10  22/11/11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էմբոլէկտոմիայի և թրոմբէկտոմիայի համար,  Fogarty տիպի,  երկճյուղ, ուղղորդչի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զստային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կաթետր պերֆերիկ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Կոբալտ քրոմիումային ստենտ ծայրային 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Ինքնաընդլայնվող  նիտինոլ ստենտներ առաքման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ներարկման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ճողվացքային ցանցերի ամրացման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պրոթեզ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Բիֆուռկացիոն պրոթեզ 18/9/9  20/10/10  22/11/11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էմբոլէկտոմիայի և թրոմբէկտոմիայի համար,  Fogarty տիպի,  երկճյուղ, ուղղորդչի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զստային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կաթետր պերֆերիկ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Կոբալտ քրոմիումային ստենտ ծայրային 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Ինքնաընդլայնվող  նիտինոլ ստենտներ առաքման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ներարկման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ճողվացքային ցանցերի ամրացման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