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Վ3-ԷԱՃԱՊՁԲ-26/6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 3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Պարույր Սևակի 49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032226796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 3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Վ3-ԷԱՃԱՊՁԲ-26/6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 3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 3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 3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Վ3-ԷԱՃԱՊՁԲ-26/6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 3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Վ3-ԷԱՃԱՊՁԲ-26/6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Վ3-ԷԱՃԱՊՁԲ-26/6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«Վ3-ԷԱՃԱՊՁԲ-26/6»*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 3 պոլիկլինիկա ՊՓԲԸ*  (այսուհետ` Պատվիրատու) կողմից կազմակերպված` Վ3-ԷԱՃԱՊՁԲ-26/6*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«Վ3-ԷԱՃԱՊՁԲ-26/6»*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 3 պոլիկլինիկա ՊՓԲԸ*  (այսուհետ` Պատվիրատու) կողմից կազմակերպված` Վ3-ԷԱՃԱՊՁԲ-26/6*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 3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- 06907229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- 220055140267000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3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թեստ ASAT`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100թեստ(հատ)  և ոչ ավել քան 200թեստ(հատ): 1թեստի համար աշխատանքային ռեակտիվի ծավալը 1մլ  է :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թեստ FT4:  Նախատեսված բաց համակարգի համար: Մեթոդը իմունոֆերմենտատիվ որոշման եղանակ: Մեկ  ռեագենտի հավաքածույում թեստերի քանակը  ոչ պակաս քան 30թեստ(հատ)  և ոչ ավել քան 100թեստ(հատ):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թեստ ALAT`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(հատ) և ոչ ավել քան 200թեստ(հատ)  : 1թեստի համար աշխատանքային ռեակտիվի ծավալը 1մլ  է: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Ախտորոշողթեստ-ձողիկներ՝  10 պարամետրիորոշելուհամար:  Մեթոդը քրոմատոգրաֆիկ։ Ֆորմատը  ոչ պակաս քան 100 թեստ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թեստ GLUCOSE`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200թեստ(հատ) և ոչ ավել քան 500թեստ(հատ)  է :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թեստ  CHOL`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200թեստ(հատ)  և ոչ ավել քան 300թեստ(հատ): 1թեստի համար աշխատանքային ռեակտիվի ծավալը 1մլ  է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թեստ UREA` նախատեսված բաց համակարգի համար: Մեթոդը կոլորիմետրիկ եղանակով: Ստուգվող նմուշ` արյան շիճուկ/պլազմա/մեզ։ Մեկ  ռեագենտի հավաքածույում թեստերի քանակը   ոչ պակաս քան 100թեստ(հատ)  և ոչ ավել քան 200թեստ(հատ)  : 
Միզանյութի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 որոշման համար նախատեսված թեստ CREATININE` նախատեսված բաց համակարգի համար: Մեթոդը Ֆոտոմետրիկ կինետիկ եղանակով: Ստուգվող նմուշ` արյան շիճուկ/պլազմա/մեզ։ Մեկ  ռեագենտի հավաքածույում թեստերի քանակը  ոչ պակաս քան 100թեստ(հատ)  և ոչ ավել քան 300թեստ(հատ) է: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ՄՌՊ որոշման համար նախատեսված թեստ RPR՝ նախատեսված բաց համակարգի համար: Մեթոդը ագլյուտինացիոն եղանակով: Ստուգվող նմուշ՝ արյան շիճուկ: Մեկ հավաքածույում թեստերի քանակը ոչ պակաս քան 30թեստ(հատ)  և ոչ ավել քան 100թեստ(հատ): ՄՌՊ որոշման համար նախատեսված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թեստ TSH` նախատեսված բաց համակարգի համար: Մեթոդ իմունոֆերմենտատիվ որոշման եղանակով: Ստուգվող նմուշ` արյան շիճուկ/պլազմա։ Մեկ  ռեագենտի հավաքածույում թեստերի քանակը   ոչ պակաս քան 30թեստ(հատ)  և ոչ ավել քան 100թեստ(հատ):  TSH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ըստ Ռոմանովսկու գիմզայի, բուֆեռով, 1լ տարայով ներկանյութ
(1լ=1կգ)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մածուցիկ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աղային լուծույթ 50մլ /վիոլայզեր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Ախտահանիչնյութ՝Հեքսանիոս G+R կամհամարժեք, գործարանայինարտադրությանփակպոլիէթիլենայինշշիկով։Թունավորությանևանվտանգությանցուցանիշները․ստամոքսընկնելիսևմաշկիվրաքսվելիսպատկանումէ 4-րդդասիքիչվնասակարնյութերին, որովայններթափանցելիս՝ 5-րդդասիգործնականորենանվնասնյութերին։Հակամիկրոբայինանվտանգությանսպեկտորը՝ախտահանիչնյութնօժտվածէհակամանրէայինակտիվությամբգրամդրականևգրամբացասականմանրէների, վիրուսների,  կանդիդաևդերմատոֆիտոնցեղինկատմամբ։Կիրառմաննպատակը՝նախատեսվածէվիրաբուժականևբժշկականնշանակությանգործիքների, էնդոսկոպներիախտահանմանևնախամանրէազերծումայինմաքրմանհամար, երկուսըմեկումմիաժամանակ։Պատվիրատունկիրառումէլուծույթնըստմեթոդականհրահանգի՝ 0,5%-ոց, որնապահովումէբակտերիալ, վիրուսային, կանդիդոզներիցևդերմատոֆիտիայիցվարակազերծումըմինչև 15րոպեում։Պահպանմանժամկետը՝փակտարայում՝ 3տարի, աշխատանքայինլուծույթինը՝ 14օր։ՆյութըպետքէունենաՀՀառողջապահությաննախարարությանկողմիցհաստատվածմեթոդականհրահանգ ISO 9001, ISO 14001, CE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ձեռքերի ախտահանման, մշակման համար։ Նյութն ունենա հարթեցնող, փափկացնող հավելումներ, իրենից ներկայացնում է հիպոալերգիկ, տիքսոտրոպիկ նյութ (մաշկի վրա վեր է ածվում հեղուկիև թափանցում է անգամ մաշկի ճեղքերի մեջ)։ Տոքսիկ չէ, չունի տեղային գրգռիչ, մաշկառեզորբտիվ և գերզգայունացնող ազդեցություններ։ Ախտահանիչ նյութն ունի մանրէասպան ազդեցություն գրամ բացասական և գրամ դրական մանրէների, (այդ թվում ներհիվանդանոցային վարակների հարուցիչների) (տուբերկուլոզի միկրոբակտերիաների), սնկերի (ներառյալԿանդիդացեղի խմորասնկեր), վիրուսների (արտաընդերայի նհեպատիտներ, ՄԻԱՎ վարակ), (H5N1), (A H1N1) նկատմամբ։ Հակամանրէային երկարացված ազդեցությունը պահպանվում է 3 ժամվա ընթացքում։ Տարան դոզավորող պոմպով է, մեկ հիգիենիկ մշակումը՝ 30վրկ, մեկ վիրաբուժական մշակումը՝ 90վրկ։ Մշակումից հետո ձեռքերի լվացում չի պահանջում։ Պիտանելիության ժամկետը՝ 3 տարի։ Նյութը պետք է ունենա ՀՀ առողջապահության նախարարության կողմից հաստատված մեթոդական հրահանգ։ Մատակարարման պահին պիտանելիության ժամկետի 2/3-ի առկայություն։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(ակտիվ նաև միկոբակտերիաների և հատուկ վտանգավոր վարակների հարուցիչների նկատմամբ), հակավիրուսային, հակասնկային ակտիվությամբ օժտված ախտահանիչ միջոց հաբերի տեսքով, որի ազդողնյութը դիքլորիզոցիանաթթվի նատրիումական աղն է: Ակտիվ քլորի պարունակությունը յուրաքանչյուր հաբում՝ նվազագույնը 28%: Սպիտակ հաբեր են՝ 2.5 - 5գ քաշով: Ախտահանիչի աշխատանքային լուծույթի պահպանման ժամկետը՝ առնվազն 5 օր: Փաթեթավորումը տուփերով՝ յուրաքանչյուրում 100-ից մինչև  400 հաբ: Պիտանելիության ժամկետի առնվազն 70%-ի առկայություն մատակարարման պահին: 
Փաթեթավորումը հերմետիկ, գործարանային՝ հստակ պիտակավորմամբ: Ունենա որակի հավաստագիր (արտադրողի կողմից խմբաքանակին ներկայացվող հավաստագիր), աշխատանքային բնութագրերի ստուգումների համալիր արդյունքներ, ՀՀ ԱՆ նախարարի կողմից հաստատված օգտագործման մեթոդական հրահանգ։ Խմբաքանակն ամբողջությամբ լինի միատեսակ (ժամկետի, արտադրողիև փաթեթավորման առումով):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Ազոպիրամ-մինիմեդ հավաքածու, փոքր բյուրեղներով փոշի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Պ.Սևակի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