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ՀՀԳՄՎՀ-ԷԱՃԱՊՁԲ-26/11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Միկրոավտոբուսների  ձեռքբերում (հաշմանդամին հարմարեցված)</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ՀՀԳՄՎՀ-ԷԱՃԱՊՁԲ-26/11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Միկրոավտոբուսների  ձեռքբերում (հաշմանդամին հարմարեցված)</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Միկրոավտոբուսների  ձեռքբերում (հաշմանդամին հարմարեցված)</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ՀՀԳՄՎՀ-ԷԱՃԱՊՁԲ-26/11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Միկրոավտոբուսների  ձեռքբերում (հաշմանդամին հարմարեցված)</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12:00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378.86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4.9531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ՀՀԳՄՎՀ-ԷԱՃԱՊՁԲ-26/11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ՀՀԳՄՎՀ-ԷԱՃԱՊՁԲ-26/11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ՀՀԳՄՎՀ-ԷԱՃԱՊՁԲ-26/11</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«ՀՀԳՄՎՀ-ԷԱՃԱՊՁԲ-26/11»*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Գեղարքունիքի մարզ Վարդենիսի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ՀՀԳՄՎՀ-ԷԱՃԱՊՁԲ-26/11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900152151024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«ՀՀԳՄՎՀ-ԷԱՃԱՊՁԲ-26/11»*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Գեղարքունիքի մարզ Վարդենիսի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ՀՀԳՄՎՀ-ԷԱՃԱՊՁԲ-26/11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ՀՀԳՄՎՀ-ԷԱՃԱՊՁԲ-26/11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- 900152151024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ՎԱՐԴԵՆԻՍԻ ՀԱՄԱՅՆՔԱՊԵՏԱՐԱՆԻ ԿԱՐԻՔՆԵՐԻ ՀԱՄԱՐ Միկրոավտոբուսների (հաշմանդամին հարմարեցված)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