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ԲԿԳԿ-ԷԱՃԱՊՁԲ-26/5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Օրբելի եղբայրների փողոց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Բարձրագույն կրթության և գիտության կոմիտեի կարիքների համար գիտական սարքերի և սարքավորումների ձեռքբերման նպատակով ԲԿԳԿ-ԷԱՃԱՊՁԲ-26/5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Բարձրագույն կրթության և գիտության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ԲԿԳԿ-ԷԱՃԱՊՁԲ-26/5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Բարձրագույն կրթության և գիտության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Բարձրագույն կրթության և գիտության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Բարձրագույն կրթության և գիտության կոմիտեի կարիքների համար գիտական սարքերի և սարքավորումների ձեռքբերման նպատակով ԲԿԳԿ-ԷԱՃԱՊՁԲ-26/5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Բարձրագույն կրթության և գիտության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Բարձրագույն կրթության և գիտության կոմիտեի կարիքների համար գիտական սարքերի և սարքավորումների ձեռքբերման նպատակով ԲԿԳԿ-ԷԱՃԱՊՁԲ-26/5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ԲԿԳԿ-ԷԱՃԱՊՁԲ-26/5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Բարձրագույն կրթության և գիտության կոմիտեի կարիքների համար գիտական սարքերի և սարքավորումների ձեռքբերման նպատակով ԲԿԳԿ-ԷԱՃԱՊՁԲ-26/5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ֆլուորեսցենտ մանրադիտակ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378.26</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4.9259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446.88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ԲԿԳԿ-ԷԱՃԱՊՁԲ-26/5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Բարձրագույն կրթության և գիտության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ԲԿԳԿ-ԷԱՃԱՊՁԲ-26/5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ԲԿԳԿ-ԷԱՃԱՊՁԲ-26/5</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ԲԿԳԿ-ԷԱՃԱՊՁԲ-26/5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«ԲԿԳԿ-ԷԱՃԱՊՁԲ-26/5»*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Բարձրագույն կրթության և գիտության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ԲԿԳԿ-ԷԱՃԱՊՁԲ-26/5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ֆինանսների նախարարության գործառնական վարչություն 900011045565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«ԲԿԳԿ-ԷԱՃԱՊՁԲ-26/5»*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«ԲԿԳԿ-ԷԱՃԱՊՁԲ-26/5»*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ԲԿԳԿ-ԷԱՃԱՊՁԲ-26/5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«ԲԿԳԿ-ԷԱՃԱՊՁԲ-26/5»*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Բարձրագույն կրթության և գիտության կոմիտե*  (այսուհետ` Պատվիրատու) կողմից կազմակերպված` ԲԿԳԿ-ԷԱՃԱՊՁԲ-26/5*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Բարձրագույն կրթության և գիտության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- 02704199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- 900011045565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«ԲԿԳԿ-ԷԱՃԱՊՁԲ-26/5»*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Բարձրագույն կրթության և գիտության կոմիտե</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ԲԱՐՁՐԱԳՈՒՅՆ ԿՐԹՈՒԹՅԱՆ ԵՎ ԳԻՏՈՒԹՅԱՆ ԿՈՄԻՏԵԻ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ֆլուորեսցենտ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Ֆլուորեսցենտային մանրադիտակ
Ընդհանուր Նկարագիր:
Ավտոմատացված ուղղահայաց մանրադիտակ, որը պետք է ունենա ինտեգրված LED լուսավորություն՝ մշտական գույնի ջերմաստիճանով։ Լուսավորման պարամետրերի ավտոմատ կարգավորման համակարգի առկայություն  լավագույն պատկերի որակի և արագ արդյունքների համար։ 
էկրանի առկայություն որի վրա արտացոլվում են աշխատանքային ռեժիմները և կարգավորումները:
· Մանրադիտակը պետք է հնարավորություն ունենա  համալրվելու առնվազն յոթ օբյեկտիվներով:
· էկրանի առկայություն որի վրա արտացոլվում են աշխատանքային ռեժիմները և կարգավորումները:
· Մոտորիզացված Ֆլուորեսցենցիայի Ինտենսիվության մենեջեր (FIM)՝ արագ և ճշգրիտ ֆլուորեսցենցիայի լույսի ինտենսիվության կարգավորում:
· Առնվազն հինգ Ֆլուրեսցենտային խորանարդների համար նախատեսված  մոտորիզացված սկավառակի առկայություն
· Լուսարձակող LED համակարգ, կենտրոնացված  ֆիքսված LED-ով:
· 32 մմ թափանցող լույսի ֆիլտրերի համար նախատեսված բնիկի առկայություն:
· Կառավարման կոճակների առկայություն՝ որոնց միջոցով ապահովվում է տարբեր կոնտրաստ մեթոդների ավտոմատ փոփոխությունը:
· Ֆազային կոնտրաստի համար նախատեսած կոնդենսատոր
· Լուսային օղակների հավաքածու ֆազային կոնտրաստի համար
Օբյեկտիվներ.
1. 5x/0.12 ազատ աշխատելու հեռավորություն՝ ոչ պակաս, քան  14 մմ, ֆլուրեսցենցիաի և ֆազային կոնտրաստի հնարավորությամբ:
2. 10x/0.25 ազատ աշխատելու հեռավորություն՝ ոչ պակաս, քան  17 մմ, ֆլուրեսցենցիաի և ֆազային կոնտրաստի հնարավորությամբ:
3. 20x/0.4   ազատ աշխատելու հեռավորություն՝ ոչ պակաս, քան  0,39  մմ, ֆլուրեսցենցիաի և ֆազային կոնտրաստի հնարավորությամբ:
4. 40x/0.65 ազատ աշխատելու հեռավորություն՝ ոչ պակաս, քան  0.36 մմ, ֆլուրեսցենցիաի և ֆազային կոնտրաստի հնարավորությամբ:
5. 50x/0,9 Oil ազատ աշխատելու հեռավորություն՝ ոչ պակաս, քան  0.14 մմ, ֆլուրեսցենցիաի հնարավորությամբ:
6. 63x/0.8 ազատ աշխատելու հեռավորություն՝ ոչ պակաս, քան  0.12 մմ, ֆլուրեսցենցիաի հնարավորությամբ:
7. 100x/1.32 Oil ազատ աշխատելու հեռավորություն՝ ոչ պակաս, քան  0.12 մմ, ֆազային կոնտրաստ, ֆլուրեսցենտ, ծածկապակով   աշխատելու հնարավորությամբ:
8. Իմերսիոն լուծույթի առկայություն՝ առնվազն 10մլ
Տուբուս
· Տուբուսի առկայություն,  ֆոտո ելքի առկայությամբ:
· Թեքման անկյունը՝ 30 °:
· Տեսադաշտը՝ ոչ պակաս, քան 25 մմ:
· Փոփոխական մոտորիզացված բաժանիչներ՝ առնվազն երեք դիրքով ֆիքսելու հնարավորությամբ.
1. 100% օկուլյարներ
2. 50% օկուլյարներ, 50% դոկումենտացիոն ելք
3. 100% դոկումենտացիոն ելք
· CMOS տեսախցիկի հետ համատեղելի:
· Օկուլյարների առկայություն 10x/25
Արտաքին ֆլուրեսցենտային լույսի աղբյուրի առկայություն.
· Արտաքին լույսի աղբյուր, որը նախատեսված է ֆլուորեսցենտային միկրոսկոպիայի համար: Այն պետք է ապահովի բարձր արագություն, ճշգրտություն և հարմարավետ կառավարում:
· Լամպի աշխատանքային ռեսուրսը՝ ոչ պակաս, քան 2000 ժ:
· Զտման արագությունը՝ ոչ պակաս, քան 10-30 մվ, ինչը հնարավորություն կտա կատարել Ca++ և FRET փորձեր:
· Լույսի համասեռ բաշխում՝ լամպը չպետք է պահանջի կարգաբերում:
· Կառավարվող լուսային հոսք՝ ինտեգրված դիաֆրագմայով լույսի ինտենսիվության կարգավորում:
· Ցածր թրթռում՝ կայուն պատկեր ստանալու համար:
· Էլեկտրոնային կառավարման հնարավորություն ծրագրային ապահովման կամ հավելվածի միջոցով:
· Լույսի աղբյուրը պետք է համատեղելի լինի մանրադիտակի հետ:
Լուսային ֆիլտրեր և համակարգեր.
• Կապույտ ալիքի  ֆիլտրային համակարգ (DAPI ֆիլտր)
ԳրգռումExcitation: 325 – 375 նմ միջակայքում, 
Էմիսիա Emission: 435 – 485 նմ միջակայքում,
• Կանաչ ալիքի ֆիլտրային համակարգ (FITC ֆիլտր)
Գրգռում Excitation: 460 – 500 նմ միջակայքում,  
Էմիսիա Emission:  512 – 542 նմ միջակայքում,
• Կարմիր ալիքի ֆիլտրային համակարգ` (Rhodamine ֆիլտր)
Գրգռում Excitation: 541 – 551 նմ միջակայքում
Էմիսիա Emission: 565 – 605 նմ միջակայքում
• Երեք ֆիլտրային համակարգ 
Գրգռում Excitation: 392–408 նմ, 482–498 նմ, 557–582 նմ միջակայքում
Էմիսիա Emission: 447–472 նմ, 517–552 նմ, 600–660 նմ միջակայքում  
Կոնդենսեր և հավելյալ պարագաներ.
· Կոնդենսերի գլխիկը՝ 0.90 S1 տիպի:
· Մեխանիկական աշխատանքային սեղանի առկայություն կենսաբառական կիրառությունների համար, առնվազն 110° պտտվող, շարժման միջակայք՝ ոչ պակաս, քան 76x25մմ, աջ կողմի կառավարմամբ
· Նմուշների ֆիքսման սեղմակի առկայություն
Թվային ֆլուորեսցենտ գունավոր տեսախցիկ.
• Սենսոր՝ CMOS, ռեզոլուցիա 20 ՄՊ
• կադրային արագություն  առնվազը 30 fps  կենդանի պատկեր
• Սենսորի չափս ոչ պակաս՝ 1” (2.54 սմ)
• Պիքսելի չափս ոչ ավել՝ 2.4 µm x 2.4 µm
• Գույնի ֆիլտր՝ RGB (Bayer)
• Գույնի խորություն՝ 3x12 բիթ կամ 3x8 բիթ (կարգավորվող)
• 2x2, 3x3 բինինգ և 16:9 ռեժիմներ (4K և Full HD բինինգ ռեժիմներ)
• Էքսպոզիցիայի ժամանակ առնվազն՝ 1 մվ– 10 վ
• Դինամիկ տիրույթ՝ 70 dB, 3200:1 +/-2%
• Հագեցման կարողություն՝ 15000 e- +/-2%
• Բացարձակ զգայունության շեմ՝ 4e- +/-2%
• Կենդանի պատկեր՝
• 9 fps՝ ամբողջական թույլատրելիությամբ
• առնվազն 24 fps՝ 5 ՄՊ (2x2 բինինգ) 
• առնվազն 31 fps՝ 2.3 ՄՊ (3x3 բինինգ)
•  C-mount ադապտերների առկայություն, մանրադիտակի հետ   համատեղելի
Աքսեսուրներ.
· Ֆոկուսավորող ոսպնյակ ՝ ֆազային կոնտրաստի համար, արտաքին տրամագիծը՝ 30մմ ± 5%:
· 5X օբյեկտիվի համար օժանդակ ոսպնյակի առկայություն:
· Մանրադիտակի պաշտպանիչ ծածկոցի առկայություն:
· Սկզբնական ֆլյուորեսցենտ ներկանյութերի հավաքածու՝ համատեղելի մանրադիտակի ֆիտրերի հետ, առնվազն 3 տեսակի (DAPI , Caspase-3 , TUNEL Assay Kits):
Ծրագրային ապահովում. 
· Համատեղելի մանրադիտակի և թվային տեսախցիկի հետ:
· Տեսախցիկի հիմնական պարամետրերի կառավարման հնարավորություն
1. Էքսպոզիցիա
2. Ուժեղացման հնարավորություն 
3. Պիքսելների միավորում (binning)
4. Գամմա կարգավորում
5. Տարածքի ընտրություն (Region of Interest - ROI)
·  Ինտուիտիվ կարգավորումների հնարավորություն՝ արագ փորձերի ստեղծման համար
·  Հավաքագրված տվյալների օպտիմալ կառավարում՝ մեծ ծավալի տվյալների արագ ցուցադրման համար:
· Մեկնաբանությունների, պատկերների համադրության (overlay) և համեմատության հնարավորություն:
· Փորձարարական պարամետրերի ավտոմատ գրանցում՝ հետագա վերականգնման համար:
· Տվյալների արտահանում՝ առնվազն TIFF, JPEG, QuickTime, AVI, MPEG-4, WMV)
· Փորձերի պայմանների արտահանում XML ֆորմատով կամ կրկնակի կիրառման հնարավորություն այլ փորձերի համար:
· Պատկերների միավորում (merge), կտրում (crop) և թվաբանական գործողություններ (image arithmetic):
· Ինտենսիվության, երկարության և տարածքի չափումներ:
· Պատկերային շերտերում (image stack) տարածքային ինտենսիվության չափում:
· Առցանց չափումներ՝ կենդանի պատկերի ցուցադրման ընթացքում:
· Պարալաքսի ուղղում (parallax correction):
· Համատեղելի օպերացիոն համակարգ՝ Windows 10 կամ ավելի նոր:
Սարքը պետք է լինի նոր և չօգտագործված, համալրված լինի աշխատանքի համար անհրաժեշտ բոլոր ադապտերներով և աքսեսուարներով: Պետք է անցկացվի ուսուցում սերտիֆիկացված  մասնագետի կողմից առնվազն երկու օր առնվազն երեք մասնակցի համար, որից հետո պետք է տրամադրվեն սերտիֆիկատներ: Սարքի համար  պետք է  տրամադրվի մեկ տարվա գործարանային երաշխիք  (ետերաշխիքային սպասարկում), մատակարարը պետք է անցկացնի տեղադրում, կարգաբերում: Մատակարարման փուլում՝ անհրաժեշտ է ներկայացնել արտադրողի (MAF - Manufacturer's Authorization Form) կամ նրա կողմից Հայաստանի Հանրապետությունում լիազորված կազմակերպության (դիստրիբյուտորի) անունից (DAF - Distributer's Authorization Form) երաշխիքային նամակ լիազորագիր:  Որակի հավաստագրի առկայություն:
Երաշխիքային ժամկետ՝ 1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3 ամսվա ընթացքում, բացառությամբ այն դեպքերի, երբ ապրանքի մատակարարը համաձայն է ավելի շուտ ժամկետներում մատակարարել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