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ԱԱԳԼ-ԷԱՃԱՊՁԲ-26/1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ԱԱԳԼ-ԷԱՃԱՊՁԲ-26/1 ծածկագրով էլեկտրոնիկայի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ԱԱԳԼ-ԷԱՃԱՊՁԲ-26/1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ԱԱԳԼ-ԷԱՃԱՊՁԲ-26/1 ծածկագրով էլեկտրոնիկայի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ԱԱԳԼ-ԷԱՃԱՊՁԲ-26/1 ծածկագրով էլեկտրոնիկայի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ԱԱԳԼ-ԷԱՃԱՊՁԲ-26/1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ԱԱԳԼ-ԷԱՃԱՊՁԲ-26/1 ծածկագրով էլեկտրոնիկայի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378.26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2026.02.17.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ԱԱԳԼ-ԷԱՃԱՊՁԲ-26/1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ԱԱԳԼ-ԷԱՃԱՊՁԲ-26/1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«ԱԱԳԼ-ԷԱՃԱՊՁԲ-26/1»*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ԱԱԳԼ-ԷԱՃԱՊՁԲ-26/1*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«ԱԱԳԼ-ԷԱՃԱՊՁԲ-26/1»*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ԱԱԳԼ-ԷԱՃԱՊՁԲ-26/1*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- 1570013071880800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կանալային ամպլիտուդաթվային փոխակերպիչ. Ազդանշանի խտությունը` առնվազն 12 բիթ, 16 ազդանշանի փոխակերպման ժամանակը` առնվազն 2.8 մկվ, արագ մաքրման ժամանակը` առնվազն 600 նվ, գերբեռնվածության  ճնշում` յուրաքանչյուր ազդանշանի համար, ±1.5%,  դիֆերենցիալ ոչ գծայնություն, ±0.1% ինտեգրալ ոչ գծայնություն, 32 դեպքերի բուֆերային հիշողություն, BLT32/MBLT64/CBLT32/CBLT64 տվյալների փոխանցման հրամաններ։ 16 Channel Multievent ADC։ 12bit resolution; 2.8 µs / 16 ch conversion time; 600 ns fast clear time; Zero and overflow suppression for each channel; ±1.5% differential non linearity; ±0.1% integral non linearity; 32 event buffer memory; BLT32/MBLT64/CBLT32/CBLT64 data transfer.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կանալային բարձր լարման աղբյուր (4 կանալ` +4KV, 3mA և 4 կանալ` -4KV, 3mA). 8 անկախ կանալներ (110/220V AC սնուցմամբ), 4KV/mA  ելքային տիրույթներ, դրական կամ բացասական բևեռականությամբ կանալներ, SHV կոաքսիալ ելքային միակցիչներ (conectors), կանալների ցածր  հոսանք, 10 mV Vset լոծողունակություն, 10 nA Iset լոծողունակություն,  ցածր/բարձր լարման մասին զգուշացում ու գերհոսանքի և առավելագույն լարման պաշտպանություն, ծրագրավորվող արագացում / նվազեցում (1-500 V/s), 2.8″ գունավոր սենսորային էկրան,հեռակառավարում (USB2.0/Ethernet): 8 Channel 4 kV/ 3 mA (6W) Desktop Power Supply Module: 8 independent channels in a Desktop package (110/220V AC Powered), 4 kV / 3mA output ranges; Channels with either positive or negative polarity; SHV coaxial output connectors; Low Ripple; 10 mV Vset resolution; 10 nA Iset resolution; Under/over-voltage alert, overcurrent and max. voltage protection; Programmable ramp-up / ramp-down (1-500 V/s); 2.8″ color touch screen display; Local and Remote control (USB2.0/Ethernet).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