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АBH-EAAPDzB-26/28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АBH-EAAPDzB-26/28</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Кресла</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АBH-EAAPDzB-26/28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"АBH-EAAPDzB-26/28"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"АBH-EAAPDzB-26/28"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АBH-EAAPDzB-26/28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стандартная ткань, черный цвет, подлокотники: хромированный металл, механизм качания: регулируемый в рабочем положении, перекладина: хромированный металл, колеса: стандартные BIFMA 5.1 (США), диаметр 10 мм, основание: немонолитное, наполнитель кресла: стандартная пенополиуретановая плотность 22-25 кг/м³, вес не менее 180 +/- 2 кг. Габариты изделия: высота в сложенном состоянии 1 м 20 см ± 2 см, ширина сиденья 65 см ± 2 см, глубина сиденья 55 см ± 2 см. Образец изделия согласовывается с заказчиком.
Поставщик осуществляет доставку изделия. Изделие должно быть неиспользованным. Гарантийный срок: 1 год. Продавец осуществляет доставку и разгрузку товара на склад (склад расположен на 2-м этаже).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20 календарных дней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