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«ԳՐԵՆԱԿԱՆ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+37493783533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«ԳՐԵՆԱԿԱՆ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«ԳՐԵՆԱԿԱՆ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«ԳՐԵՆԱԿԱՆ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ԳՐԵՆԱԿԱՆ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գրասենյակային Ա4 ձևաչափի, ոչ կավճապատ, Ա դասի։ Նախատեսված է գրելու, լազերային և թանաքային տպագրման, պատճենահանման և գրասենյակային այլ աշխատանքների համար տպագրելու։ Չափերը՝ 210x297մմ: Համապատասխան ISO 9001, 14001 OHSAS 18001 կառավարման սերտիֆիկացման համակարգերին: Խտությունը` համաձայն ISO 536 ստանդարտի` 80 գր/մ2, կոշտությունը MD` 100, կոշտությունը CD` 35, սպիտակությունը` համաձայն ISO 11475 ստանդարտի, 171%-ից (CIE համակարգով) (առանց շեղումների), ուլտրասպիտակ, հաստությունը` համաձայն ISO 534 ստանդարտի` 110 Մկմ, անթափանցելիությունը` համաձայն ISO 2471 ստանդարտի 94%, պայծառությունը 111%, անհարթությունը` 180մլ/ր, խոնավությունը՝ 4,5%, օդի անցանելիություն՝ 1700 մլ/ր: Մեկ տուփի մեջ թերթերի քանակը գործարանային փաթեթավորմամբ` 500 թերթ, առանց շեղումների:1 տուփը 2.5 կգ, տոքսիկայնություն՝ 95,3%, ֆենոլի պարունակություն՝ ոչ ավել քան 0,001 մգ/մ3, ֆորմալդեգիդի պարունակություն՝  0,0014 մգ/մ3: Double A կամ Target A+ կամ PioneerA+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A 4 (210x297) մմ ձևաչափի թղթերի համար, արագակարներին /զսպանակներին/ ամրացնելու հնարավորությամբ, 70մկ,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ձևաչափի (210x297մմ) ձևաչափի թղթերի համար, կոշտ ստվարաթղթե կազմով, հաստությունը 2մմ, ներսի մակերեսը լամինապատված, կողային մասում գրպան փոխարինվող պիտակ պահելու համար,  երկօղականի` հատուկ բացվող մեխանիզմով, 31.5 երկարությամբ, 24.6 սմ լայնությամբ, 7,5-8 սմ հաստությամբ: Գույնը՝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 կտորը՝ ատլաս, եզրակարված, դրոշակաձողի մասը 3 սմ,  երկու կողմանի, չափերը 2մ*1մ։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 կտորը՝ ատլաս, եզրակարված, դրոշակաձողի մասը 3 սմ,  երկու կողմանի, չափերը 1,5մ*0,75մ։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Արցախի դրոշ - կտորը՝ կարաբ, եզրակարված, դրոշակաձողի մասը 3 սմ,  երկու կողմանի, չափերը 2.2մ*1.2մ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առաջին խմբաքանակի մատակարարումը պայմանագիրն ուժի մեջ մտնելու օրվանից հաշված 20 օր, բացառությամբ, երբ մասնակիցը համաձայն է մատակարարել ավելի կարճ ժամկետում, Ապրանքի մատակարարումը մինչև 25․12.2026թ.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առաջին խմբաքանակի մատակարարումը պայմանագիրն ուժի մեջ մտնելու օրվանից հաշված 20 օր, բացառությամբ, երբ մասնակիցը համաձայն է մատակարարել ավելի կարճ ժամկետում, Ապրանքի մատակարարումը մինչև 25․12.2026թ.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առաջին խմբաքանակի մատակարարումը պայմանագիրն ուժի մեջ մտնելու օրվանից հաշված 20 օր, բացառությամբ, երբ մասնակիցը համաձայն է մատակարարել ավելի կարճ ժամկետում, Ապրանքի մատակարարումը մինչև 25․12.2026թ.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առաջին խմբաքանակի մատակարարումը պայմանագիրն ուժի մեջ մտնելու օրվանից հաշված 20 օր, բացառությամբ, երբ մասնակիցը համաձայն է մատակարարել ավելի կարճ ժամկետում, Ապրանքի մատակարարումը մինչև 25․12.2026թ.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առաջին խմբաքանակի մատակարարումը պայմանագիրն ուժի մեջ մտնելու օրվանից հաշված 20 օր, բացառությամբ, երբ մասնակիցը համաձայն է մատակարարել ավելի կարճ ժամկետում, Ապրանքի մատակարարումը մինչև 25․12.2026թ.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առաջին խմբաքանակի մատակարարումը պայմանագիրն ուժի մեջ մտնելու օրվանից հաշված 20 օր, բացառությամբ, երբ մասնակիցը համաձայն է մատակարարել ավելի կարճ ժամկետում, Ապրանքի մատակարարումը մինչև 25․12.2026թ.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