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ՉՀԳ-ԷԱՃԱՊՁԲ-2026/1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ՀԱՍՏՈՑԱՇԻՆԱԿԱՆ ԳՈՐԾԱՐԱՆ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ք.Չարենցավան, Եսայան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ՉՀԳ ԲԲԸ-ի կարիքների համար ՉՀԳ-ԷԱՃԱՊՁԲ-2026/1 ծածկագրով Էլեկտրոնային աճուրդի ձևով վառելիքի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Հակոբքյոխվյան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+37493442320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sveta120283@gmail.com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ՀԱՍՏՈՑԱՇԻՆԱԿԱՆ ԳՈՐԾԱՐԱՆ ԲԲԸ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ՉՀԳ-ԷԱՃԱՊՁԲ-2026/1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ՀԱՍՏՈՑԱՇԻՆԱԿԱՆ ԳՈՐԾԱՐԱՆ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ՀԱՍՏՈՑԱՇԻՆԱԿԱՆ ԳՈՐԾԱՐԱՆ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ՉՀԳ ԲԲԸ-ի կարիքների համար ՉՀԳ-ԷԱՃԱՊՁԲ-2026/1 ծածկագրով Էլեկտրոնային աճուրդի ձևով վառելիքի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ՀԱՍՏՈՑԱՇԻՆԱԿԱՆ ԳՈՐԾԱՐԱՆ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ՉՀԳ ԲԲԸ-ի կարիքների համար ՉՀԳ-ԷԱՃԱՊՁԲ-2026/1 ծածկագրով Էլեկտրոնային աճուրդի ձևով վառելիքի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ՉՀԳ-ԷԱՃԱՊՁԲ-2026/1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sveta120283@gmail.com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ՉՀԳ ԲԲԸ-ի կարիքների համար ՉՀԳ-ԷԱՃԱՊՁԲ-2026/1 ծածկագրով Էլեկտրոնային աճուրդի ձևով վառելիքի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ՀԱՍՏՈՑԱՇԻՆԱԿԱՆ ԳՈՐԾԱՐԱՆ ԲԲԸ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ՉՀԳ-ԷԱՃԱՊՁԲ-2026/1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ՉՀԳ-ԷԱՃԱՊՁԲ-2026/1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«ՉՀԳ-ԷԱՃԱՊՁԲ-2026/1»*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ՀԱՍՏՈՑԱՇԻՆԱԿԱՆ ԳՈՐԾԱՐԱՆ ԲԲԸ*  (այսուհետ` Պատվիրատու) կողմից կազմակերպված` ՉՀԳ-ԷԱՃԱՊՁԲ-2026/1*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ՀԱՍՏՈՑԱՇԻՆԱԿԱՆ ԳՈՐԾԱՐԱՆ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- 02800056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- 1570005356230100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«ՉՀԳ-ԷԱՃԱՊՁԲ-2026/1»*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ՀԱՍՏՈՑԱՇԻՆԱԿԱՆ ԳՈՐԾԱՐԱՆ ԲԲԸ*  (այսուհետ` Պատվիրատու) կողմից կազմակերպված` ՉՀԳ-ԷԱՃԱՊՁԲ-2026/1*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ՀԱՍՏՈՑԱՇԻՆԱԿԱՆ ԳՈՐԾԱՐԱՆ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- 02800056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- 1570005356230100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«ՉՀԳ»  ԲԲԸ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	հետազոտական մեթոդով` ոչ պակաս 91: 
-	շարժիչային մեթոդով` ոչ պակաս 81:  
Կապարի պարունակությունը 5 մգ/դմ3-ից ոչ ավելի: 
Խտությունը` 15 0C ջերմաստիճանում` 720-775 կգ/մ3: 
Ծծմբի պարունակությունը` 10 մգ/կգ-ից ոչ ավելի: 
Բենզինի հագեցած գոլորշիների ճնշումը՝ 45-ից մինչև 100կՊա։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(C⁵ և ավելի) - 15 %, այլ օքսիդիչներ - 10 %: 
Մատակարարումը կտրոնային: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350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 կտրոնային:
Անվտանգությունը, մակնշումը և փաթեթավորումը`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Չարենցավան, Եսայան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Պայմնագիրն ուժի մեջ մտնելուց հետո մինչև  2026թ-ի դեկտեմբերի 30-ը՝ըստ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Չարենցավան, Եսայան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Պայմնագիրն ուժի մեջ մտնելուց հետո մինչև  2026թ-ի դեկտեմբերի 30-ը՝ըստ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