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ՀՀԿԳՄՍՆԷԱՃԱՊՁԲ-26/35</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светодиодного экрана: длина 5-6 м, ширина 2-3 м, плотность пикселей 640 000 точек/м², соотношение сторон 16:9, применение: внутри помещений, подключение по HDMI.
Яркость 600 кд/м², степень защиты IP65, тип экрана: светодиодный, функция SDK, операционная система: Linux, Android, 10x, другие, плотность пикселей 640 000 точек/м², срок службы (в часах): 100 000 часов.
Угол обзора (по горизонтали/вертикали): 160°, напряжение питания: 2200–240 В переменного тока.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