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(2026թ. վերանորոգվող/հիմնանորոգվող 30 դպրոցներ)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(2026թ. վերանորոգվող/հիմնանորոգվող 30 դպրոցներ)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(2026թ. վերանորոգվող/հիմնանորոգվող 30 դպրոցներ)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(2026թ. վերանորոգվող/հիմնանորոգվող 30 դպրոցներ)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