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կտրոններով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45-ից մինչև 100 կՊա, կապարի պարունակությունը 5 մգ/դմ3-ից ոչ ավելի, բենզոլի ծավալային մասը 1 %-ից ոչ ավելի, խտությունը՝ 150 ջերմաստիճանում 720-ից մինչև 775 կգ/մ3, ծծմբի պարունակությունր՝ 10 մգ/կգ-ից ոչ ավելի, թթվածնի զանգվածային մասը՝ 2,7 %-ից ոչ ավելի, օքսիդիչների ծավալային մասը, ոչ ավելի՝ մեթանոլ-3 %, էթանոլ-5 %, իզոպրոպի լսպիրտ-10%, իզոբուտիլ սպիրտ-10 %, եռաբութիլ սպիրտ-7 %, եթերներ (C5 և ավելի)–15 %, այլ օքսիդիչներ– 10 %, անվտանգությունը, մակնշումը և փաթեթավորումը՝ ըստ ՀՀ կառավարության 2004թ. նոյեմբերի 11-ի N1592 Ն որոշմամբ հասtաաված «Ներքին այրման շարժիչային վառելիքների տեխնիկական կանոնակարգի»
ՀՀ բոլոր խոշոր քաղաքներում բենզալցակայանների առակայությունը պարտադիր է։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ու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պարունակությունր՝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 10 %, անվտանգությունը, մակնշումը և փաթեթավորումը՝ ըստ ՀՀ կառավարության 2004թ. նոյեմբերի 11-ի  № 1592 Ն որոշմամբ հասաաաված «Ներքին այրման շարժիչային վառելիքների տեխնիկական կանոնակարգի»:
ՀՀ բոլոր խոշոր քաղաքներում բենզալցակայանների առակայությունը պարտադիր է։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 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 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ՀՀ բոլոր խոշոր քաղաքներում բենզալցակայանների առակայությունը պարտադիր է։Մատակարարումը՝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մինչև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մինչև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մինչև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