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ՀԳԴ-ԷԱՃԾՁԲ-26/2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դատախազություն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դատախազության կարիքների համար անվտանգության ապահովման ծառայության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Վիկտորիյա Մաշկովսկայա</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010511879</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v.mashkovskaya@prosecutor.am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դատախազություն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ՀԳԴ-ԷԱՃԾՁԲ-26/2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դատախազություն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դատախազություն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դատախազության կարիքների համար անվտանգության ապահովման ծառայության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դատախազություն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դատախազության կարիքների համար անվտանգության ապահովման ծառայության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ՀԳԴ-ԷԱՃԾՁԲ-26/2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v.mashkovskaya@prosecutor.am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դատախազության կարիքների համար անվտանգության ապահովման ծառայության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377.7</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4.9058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445.38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2026.02.27.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ՀԳԴ-ԷԱՃԾՁԲ-26/2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ՀԳԴ-ԷԱՃԾՁԲ-26/2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ՀԳԴ-ԷԱՃԾՁԲ-26/2</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«ՀԳԴ-ԷԱՃԾՁԲ-26/2»*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դատախազություն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ՀԳԴ-ԷԱՃԾՁԲ-26/2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ֆին.նախ.աշխ.գործ.վարչ. 900008000466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Հավելված 3.1</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«ՀԳԴ-ԷԱՃԾՁԲ-26/2»*  ծածկագրով</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դատախազություն</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ՀԳԴ-ԷԱՃԾՁԲ-26/2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ՀԳԴ-ԷԱՃԾՁԲ-26/2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ՀՀ ԴԱՏԱԽԱԶՈՒԹՅԱՆ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2.1, N 2.2,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1. Պահպանման ենթակա Օբյեկտներ են հանդիսանում Հայաստանի Հանրապետության դատախազության (այսուհետ` Դատախազություն) վարչական շենքերը։ 
        Պահպանությունն իր մեջ ներառում է՝ շենքերի, շինությունների, կառույցների, դրանց բակային և հարակից  տարածքների  հսկողության, պահպանության և  անվտանգության  ապահովումը։
Ստորաբաժանումների հասցեները (ներառյալ  պահպանվող շինությունների և տարածքների մակերեսները, հարկերի քանակը և անցակետերի քանակը, ինչպես նաև պահանջվող միավորների թիվը)  ներկայացվում են Հավելված 2.1-ում:
Հավելված 2.1-ի ցանկով ներկայացված բոլոր հասցեներում շուրջօրյա պահնորդական ծառայություն  մատուցողը պետք է ունենա ՀՀ օրենքով սահմանված կարգով պահնորդի որակավորում, իսկ պահնորդները՝ զենքի կրման համապատասխան թույլտվություն, ծառայությունն իրականացնելու համար անհրաժեշտ միջոցներ՝ զենք (ծառայողական՝ կարճ ակոսափող), հատուկ տեխնիկական միջոցներ՝ մահակ, ձեռնաշղթա, կապի միջոցներ, լապտերներ և այլն։
 2. Պահնորդական ծառայությունն իրականացվում է  «Մասնավոր պահնորդական գործունեության մասին» Հայաստանի Հանրապետության օրենքով  սահմանված պահնորդական գործունեության լիցենզիա ստացած իրավաբանական անձինք (այսուհետ` Կատարող), պահնորդական գործունեություն իրականացնող կազմակերպությունում պայմանագրային հիմունքներով աշխատող՝  որակավորում ունեցող, պահնորդների (այսուհետ` Պահնորդ) միջոցով, ովքեր պարտավոր են՝
•	ծառայությունն իրականացնելիս առաջնորդվել «Մասնավոր պահնորդական գործունեության մասին» Հայաստանի Հանրապետության օրենքով, այլ օրենքներով և ոլորտը կարգավորող այլ իրավական ակտերով,
•	   շուրջօրյա ծառայության միջոցով կանխարգելեն, կանխեն և կասեցնեն պահպանվող օբյեկտում իրավախախտումները, հնարավոր հակաիրավական ոտնձգությունները և այլ համանման երևույթներ, շուրջօրյա ծառայության միջոցով ապահովեն պահպանվող տարածքում գտնվող անձանց պատշաճ վարքագիծը,
•	  շուրջօրյա ծառայության գրաֆիկով, կայուն պահակակետի միջոցով ապահովեն պահպանվող տարածքի հսկողությունը, բակային տարածքներում տրանսպորտային միջոցների մուտքն ու ելքը, պահպանությունը և անվտանգությունը,  
•	  շուրջօրյա ծառայության միջոցով ապահովեն դատախազության վարչական շենքերում դատախազության աշխատակիցների անվտանգ գործունեությունը,
•	   շուրջօրյա ծառայության միջոցով կանխեն նյութական արժեքների չարտոնված տեղաշարժը և իրականացնեն պահպանության ենթակա օբյեկտի, գույքի ու նյութական արժեքների, քրեական վարույթների, նյութերի, իրեղեն ապացույցների պահպանությունը,
•	   անմիջապես արձագանքեն արտակարգ իրավիճակների դեպքում (հրդեհ, կոմունալ վթարի և այլն)՝ այդ մասին անհապաղ տեղեկացնեն ՀՀ ՆԳՆ օպերատիվ կառավարման կենտրոն և պատասխանատու անձանց, մինչև փրկարար կամ համապատասխան ծառայության աշխատակիցների ժամանումը Պահնորդն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ինչպես նաև անհապաղ տեղեկացնեն անվտանգությամբ զբաղվող Դատախազության համապատասխան  ստորաբաժանմանը,
•	  շուրջօրյա ծառայության միջոցով սահմանված կարգով լրացնեն պատվիրատուի կողմից հաստատված այցելուների մուտքի և ելքի հաշվառման մատյանները և համապատասխան գրանցումների վերաբերյալ տեղեկատվությունը յուրաքանչյուր օր (նախորդ օրվա կտրվածքով) տրամադրել պատվիրատուին, աշխատակիցների և այցելուների մուտքի և ելքի ժամանակ իրականացնեն անվտանգության անհրաժեշտ միջոցառումներ, հետևեն տվյալ ժամանակահատվածում օրենքով կամ հրամանով սահմանված ընդհանուր հակահամաճարակային կանոնների պահպանմանը,
•	   շուրջօրյա ծառայության միջոցով ապահովեն պահպանվող օբյեկտներում դատախազության անցագրային և ներօբյեկտային սահմանված պայմանակարգերի իրականացումը, 
•	   անհրաժեշտության դեպքում իրականացնեն այցելուների ուղեկցում,
•	   իրականացնեն այցելուների անձնական խուզարկություն, նրանց մոտ գտնվող առարկանների զննում, անձը հաստատող փաստաթղթի ինչպես նաև պահպանվող օբյեկտ տրանսպորտային միջոցով մուտքի և ելքի,  գույք տեղափոխելու ուսումնասիրություն և գրանցում,
•	   կատարեն պահպանվող տարածքի անվտանգության ապահովման հետ կապված՝ պատասխանատու պաշտոնատար անձի կամ ստորաբաժանման հրահանգները,
•	   Պահնորդները /յուրաքանչյուր վարչական շենքի համար ծառայություն մատուցող պահնորդների թիվը նշված է աղյուսակում/ պետք է ստորագրեն գաղտնիության, տեղեկատվության անվտանգության պարտավորագիր, համաձայն կից ներկայացվող Ձև 1-ի, պահնորդական ծառայության կատարման համար պահնորդներից յուրաքանչյուրը ներկայացնում է իր կողմից ստորագրված՝ գաղտնիության, տեղեկատվության անվտանգության պարտավորագիր և  ՀՀ օրենքով սահմանված կարգով Պահնորդի որակավորում և զենքի կրման  համապատասխան թույլտվություն,
•	  Պահնորդները պետք է լինեն մինչև 50 տարեկան արական և իգական սեռի անձիք, պահնորդական ծառայություններ իրականացնելիս՝  ունենան պատշաճ արտաքին տեսք և կրեն եղանակային պայմաններին համապատասխան ամառային և ձմեռային  միասնական համազգեստ, որը համաձայնեցված է լինելու պատվիրատուի հետ:
•	  Դատախազության համապատասխան ստորաբաժանման կողմից ծառայողական քննության շրջանակներում տալ բացատրություններ և իրենց իրավասության շրջանակներում աջակցել ծառայողական քննությանը։
3․ Պահպանության կառուցվածքը՝
Պահնորդական ծառայությունն իրականացվելու է նշված հասցեներում՝ համաձայն կից ներկայացվող Հավելված 2.1 ցանկի ։
Պահնորդների պահակակետերը պետք է համալրված լինեն հատուկ տեխնիկական միջոցներով՝ մահակներով,  ձեռնաշղթաներով, կապի միջոցներով, լապտերներով, իսկ պահնորդները ծառայությունն իրականացնեն զենքով (ծառայողական՝ կարճ ակոսափողով)։
Կատարողը պարտավոր է՝
 Պայմանգիր կնքելու ծանուցումը և որակավորման, պայմանագրի ապահովումները ներկայացնելու պահանջը առաջանալու հիման վրա, այն ստանալու օրվանից հետո 10 աշխատանքային օրվա ընթացքում  պատվիրատուին ներկայացնել  Հավելված 2.1-ի  համապատասխան՝ վարչական շենքերում ըստ ստորաբաժանումների   պահպանություն իրականացնող պահնորդների ցանկը, նրանց որակավորումը հավաստող փաստաթղթերը, զենքի կրման և համապատասխան թույլտվությունները, գաղտնիության տեղեկատվության անվտանգության պարտավորագրերը (Ձև 1) և ներառյալ այլընտրանքային փոխարինումների ցանկը, իսկ հայտերը ներկայացնելիս ներկայացնել յուրաքանչյուր հասցեի (ստորաբաժանման) համար 1 օրվա մատուցվող ծառայության արժեքները (Հավելված 2.2), հավելված 2.1-ը և 2.2-ը կազմում են պայմանագրի անբաժանելի մասը:
            Շուրջօրյա հերթապահ ծառայության միջոցով, ինչպես նաև շրջիկ ծառայության ավտոմեքենաներով կամ անհրաժեշտության դեպքում Պատվիրատուի պահանջով շրջիկ խմբի միջոցով օրական առնվազն մեկ անգամ կազմակերպել ծառայության մատուցման ստուգում։
            Ահազանգի դեպքում պահնորդական ծառայությունն իրականացվելու է արագ արձագանքման խմբերի ուղղեգրումը տագնապի վայրեր, բացի այդ միառժամանակյա տեղեկացում պատվիրատուի համապատասխան ստորաբաժանում։
            Պահնորդին այլ Պահնորդով մշտապես կամ ժամանակավորապես փոխարինելիս համաձայնեցնել Պատվիրատուի հետ /համապատասխանաբար նոր պահնորդի ծառայության ացնելու համար անհրաժեշտ փաստաթղթերի ներկայացմամբ/: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 չիրականացնելու հետևանքով կհասցվի Պատվիրատուին, ինչպես նաև իրեն վստահված նյութական արժեքների վնասի համար:
Հավելված N 2.1
Հ/Հ	
Ստորաբաժանում	
Հասցե	
Պահպ․
շինության մակերեսը
մ²	
Պահպ․
տարածքի
մակերեսը
քմ	
Հարկերի քանակը	
Անցակետերի քանակը	Միավոր
							24ժ
(շաբա թական 7օր)	12ժ
(շաբաթական 6օր) 	8ժ
(շաբաթական 5 օր)
Իգական սեռ
1	ՀՀ գլխավոր դատախազություն	ք․ Երևան, Վ. Սարգսյան 5	4339.6	4339.6	6		
3/24*	
1/12**	
1/8**
2	ՀՀ զինվորական դատախազություն	ք․ Երևան, Սունդուկյան 66ա	2449.9	2449.9	4		
2/24*		
3	Երևան քաղաքի դատախազություն	ք․ Երևան, Հանրապետության 85	971	1864.6	4		
2/24*		
4	Ապօրինի ծագում ունեցող գույքի բռնագանձման գործերով վարչություն	ք. Երևան, Տիգրան Մեծ 50	605	605	2		
1/24*		
5	Ավան և Նոր Նորք վարչական շրջանների դատախազություն	ք. Երևան, Բորյան 1ա	495	495	1		
1/24*		
6	Մալաթիա-Սեբաստիա վարչական շրջանի դատախազություն	ք. Երևան, Սեբաստիա 37, թ. 1 մանկապարտեզ	354.2	517.6	2		
1/24*		
7	Աջափնյակ և Դավթաշեն վարչական շրջանների դատախազություն	ք. Երևան, Լենինգրադյան 4ա	334.8	880.05	2		
1/24*		
8	Արաբկիր և Քանաքեռ-Զեյթուն վարչական շրջանների դատախազություն	ք. Երևան, Նաիրի Զարյան 33ա	485.9	485.9	3		
1/24*		
9	Էրեբունի և Նուբարաշեն վարչական շրջանների դատախազություն	ք. Երևան, Մովսես Խորենացի 162ա	885.75	885.75	2		
1/24*		
10	Կենտրոն և Նորք-Մարաշ վարչական շրջանների դատախազություն	ք. Երևան, Սայաթ-Նովա 2	459	459	1		
1/24*		
11	Շենգավիթ վարչական շրջանի դատախազություն	ք. Երևան, Գարեգին Նժդեհ 27	374
	374
	2		
1/24*		
12	Արագածոտնի մարզի դատախազություն	Արագածոտնի մարզ, 
ք. Աշտարակ, Ներսես Աշտարակեցու հրապարակ 7	490	674.3	2		
1/24*		
13	Արարատի մարզի դատախազություն	Արարատի մարզ, ք. Արտաշատ, Մարքսի թ. 2	668	1720	2		
1/24*		
14	Արմավիրի մարզի դատախազություն	Արմավիրի մարզ, ք. Արմավիր, Շահումյան 48	468.8	779.3	3		
1/24*		
15	Գեղարքունիքի մարզի դատախազություն	Գեղարքունիքի մարզ, ք. Գավառ, Հրանտ Հակոբյան 21	
563.3	1500	2		
1/24*		
16	Կոտայքի մարզի դատախազություն	Կոտայքի մարզ, 
ք. Հրազդան, Կենտրոն թաղամաս 2	755.56	893	2		
1/24*		
17	Շիրակի մարզի դատախազություն	Շիրակի մարզ, 
ք. Գյումրի, Հաղթանակի պողոտա թիվ 6	808.75	854.15	2		
1/24*		
18	Լոռու մարզի դատախազություն	Լոռու մարզ, 
ք. Վանաձոր, Մյասնիկյան 13	784.74	974	4		
1/24*		
19	1. Սյունիքի մարզի դատախազություն 
2. Կապանի կայազորի զինվորական  դատախազություն	Սյունիքի մարզ, 
ք. Կապան, Մ. Ստեփանյան 2	550	1014	3		
1/24*		
20	1. Վայոց ձորի մարզի դատախազություն 
2. Արարատի կայազորի զինվորական  դատախազություն	Վայոց ձորի մարզ, 
ք. Եղեգնաձոր, Զորավար Անդրանիկ թ. 4	346.8	1400	2		
1/24*		
21	Տավուշի մարզի դատախազություն	Տավուշի մարզ, 
ք. Իջևան, Իջևանյան 1	394.8	394.8	1		
1/24*		
22	Լոռու կայազորի զինվորական դատախազություն	Լոռու մարզ, 
ք. Վանաձոր, Զորավար Անդրանիկ 14ա	223.25	6760	2		
1/24*		
23	Շիրակի կայազորի զինվորական  դատախազություն	Շիրակի մարզ, 
ք. Գյումրի, Կարեն Դեմիրճյան թ. 69	216.33	499.2	1		
1/24*		
24	Տավուշի կայազորի զինվորական  դատախազություն	Տավուշի մարզ ք. Դիլիջան, Կալինինի 233	605	627	3		
1/24*		
25	Սիսիանի կայազորի զինվորական  դատախազություն	Սյունիքի մարզ, 
ք. Սիսիան, Սիսական 41	346	346	1		
1/24*		
*1/24, 2/24  և 3/24 միավորներում բոլոր պահնորդները շուրջօրյա ծառայությունը իրականացնելու են զենքով,
**1/8 և 1/12 միավորներում բոլոր պահնորդները ծառայությունը իրականացնելու են առանց զենքի։
Հավելված N 2.2
ՀՀ դրամ
Հ/Հ 	Ստորաբաժանում	Հասցե	Նշված միավորի 1 օրվա ծառայության արժեքը  /ներառյալ ԱԱՀ/	1 օրվա ծառայության մատուցվող ընդհանուր արժեքը
 / ներառյալ ԱԱՀ/
նշված հասցեում *
			1/24	1/12	1/8	
1	ՀՀ գլխավոր դատախազություն	ք․ Երևան, Վ.Սարգսյան 5				
2	ՀՀ զինվորական դատախազություն	ք․ Երևան, Սունդուկյան 66ա		_	_	
3	Երևան քաղաքի դատախազություն	ք․ Երևան, Հանրապետության 85		_	_	
4	Ապօրինի ծագում ունեցող գույքի բռնագանձման գործերով վարչություն	ք. Երևան, Տիգրան Մեծ 50		_	_	
5	Ավան և Նոր Նորք վարչական շրջանների դատախազություն	ք. Երևան, Բորյան 1ա		_	_	
6	Մալաթիա_ Սեբաստիա վարչական շրջանի դատախազություն	ք. Երևան, Սեբաստիա 37		_	_	
7	Աջափնյակ և Դավթաշեն վարչական շրջանների դատախազություն	ք. Երևան, Լենինգրադյան 4ա		_	_	
8	Արաբկիր և Քանաքեռ_Զեյթուն վարչական շրջանների դատախազություն	ք. Երևան, Նաիրի Զարյան 33ա		_	_	
9
	Էրեբունի և Նուբարաշեն վարչական շրջանների դատախազություն	ք. Երևան, Մովսես Խորենացի 162ա		_	_	
10	Կենտրոն և Նորք_Մարաշ վարչական շրջանների դատախազություն	ք. Երևան, , Սայաթ_Նովայի պողոտա 2		_	_	
11	Շենգավիթ վարչական շրջանի դատախազություն	ք. Երևան, Գարեգին Նժդեհ 27		_	_	
12	Արագածոտնի մարզի դատախազություն	Արագածոտնի մարզ, 
ք. Աշտարակ,  Ներսես Աշտարակեցու հրապարակ 7		_	_	
13	Արարատի մարզի դատախազություն	Արարատի մարզ, ք. Արտաշատ, Մարքս 2		_	_	
14	Արմավիրի մարզի դատախազություն	Արմավիրի մարզ, ք. Արմավիր, Շահումյան 48		_	_	
15	Գեղարքունիքի մարզի դատախազություն	Գեղարքունիքի մարզ, ք. Գավառ, Հրանտ Հակոբյան 21		_	_	
16	Կոտայքի մարզի դատախազություն	Կոտայքի մարզ, 
ք. Հրազդան, Կենտրոն թաղամաս 2		_	_	
17	Շիրակի մարզի դատախազություն	Շիրակի մարզ, 
ք. Գյումրի, Հաղթանակի պողոտա 6		_	_	
18	Լոռու մարզի դատախազություն	Լոռու մարզ, 
ք. Վանաձոր, Մյասնիկյան 13		_	_	
19	1. Սյունիքի մարզի դատախազություն 
2. Կապանի կայազորի զինվորական  դատախազություն	Սյունիքի մարզ, 
ք. Կապան, Մելիք_Ստեփանյան 2		_	_	
20	1. Վայոց ձորի մարզի դատախազություն 
2. Արարատի կայազորի զինվորական  դատախազություն	Վայոց ձորի մարզ, 
ք. Եղեգնաձոր, Զորավար Անդրանիկ 4		_	_	
21	Տավուշի մարզի դատախազություն	Տավուշի մարզ, 
ք. Իջևան, Իջևանյան 1		_	_	
22	Լոռու կայազորի զինվորական դատախազություն	Լոռու մարզ, 
ք. Վանաձոր, Զորավար Անդրանիկ 14ա		_	_	
23	Շիրակի կայազորի զինվորական  դատախազություն	Շիրակի մարզ, 
ք. Գյումրի, Կարեն Դեմիրճյան 69		_	_	
24	Տավուշի կայազորի զինվորական  դատախազություն	Տավուշի մարզ ք. Դիլիջան, Կալինինի 233		_	_	
25	Սիսիանի կայազորի զինվորական  դատախազություն	Սյունիքի մարզ, 
ք. Սիսիան, Սիսական 41		_	_	
* Հաշվարկը ներկայացնել 2.1 հավելվածում նշված անհրաժեշտ Պահնորդների թվով: Վճարումը կատարվելու է փաստացի մատուցած ծառայության դիմաց՝ ըստ օրերի քանակի։
Ձև 1
ՊԱՐՏԱՎՈՐԱԳԻՐ
ՏԵՂԵԿԱՏՎՈՒԹՅԱՆ ԱՆՎՏԱՆԳՈՒԹՅԱՆ
Ես` ___________________________________________________________ հանդիսանալով _______________________________________________________ աշխատակից, պարտավորվում եմ.
1.	Աշխատանքային գործունեության ընթացքում Հայաստանի Հանրապետության դատախազության (այսուհետ` Դատախազություն) մուտք և ելք իրականացնող քաղաքացիների, աշխատակիցների, ավտոմեքենաների վերաբերյալ տեղեկությունները, ծառայողական կամ կոնֆիդենցիալ բնույթ կրող այլ տեղեկությունները, ինչպես նաև Դատախազության ներքին օգտագործման, այդ թվում՝ հանրության համար նախատեսված տեղեկատվությունը մինչև դրա պաշտոնական հրապարակումը՝ անկախ դրանց կրիչից (բանավոր, գրավոր, թվային, էլեկտրոնային, տեսանելի, թղթային), օգտագործել բացառապես աշխատանքային պարտականությունների կատարման շրջանակներում:
2.	Որևէ կերպ ինձ հայտնի դարձած նախաքննական կամ օրենքով պահպանվող այլ գաղտնիք պարունակող տեղեկությունները  չհրապարակել, չփոխանցել ամբողջությամբ կամ մասամբ  որևէ մեկին՝ ներառյալ տվյալ տեղեկության ստացման իրավունք չունեցող դատախազության  աշխատակիցներին:  
3.	Չպատճենահանել, չլուսանկարահանել, չտեսաձայնագրել կամ այլ կերպ չվերարտադրել սույն պարտավորագրի 1_ին և 2_րդ կետերում նախատեսված տեղեկությունները:
4.	Պահպանել սույն պարտավորագրի պայմաններն անգամ դատախազության հետ իմ գործատուի պայմանագրի դադարումից հետո՝ տվյալ տեղեկատվության պահպանման համար ՀՀ գործող օրենսդրությամբ սահմանված ժամկետների ընթացքում:
Ես գիտակցում եմ, որ սույն պարտավորագրով ամրագրված իմ պարտավորությունների խախտման համար կենթարկվեմ պատասխանատվության ՀՀ գործող օրենսդրությամբ և իմ գործատուի ներքին կարգապահական կանոններով:
_________________________________
Պարտավորագիրը ստորագրող						     
_________________________________
Օր, ամիս, տարեթիվ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նշված հասցեներում /համաձայն ներկայացվող Հավելված 2.1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սկսած մինչև 31.12.2026թ.-ի ժամը 24:00_ն: Ելնելով ծառայողական անհրաժեշտությունից՝ Պայմանագրի պայմանները կիրառվելու են 01.04.2026թ.-ից  կողմերի միջև փաստացի ծագած հարաբերությունների նկատմամբ։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